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4C" w:rsidRPr="00DC7F1B" w:rsidRDefault="00160BD6" w:rsidP="009A4CE1">
      <w:pPr>
        <w:tabs>
          <w:tab w:val="left" w:pos="5865"/>
        </w:tabs>
        <w:spacing w:line="240" w:lineRule="auto"/>
        <w:jc w:val="both"/>
        <w:rPr>
          <w:rFonts w:eastAsia="Times New Roman" w:cs="Times New Roman"/>
          <w:b/>
          <w:noProof/>
          <w:sz w:val="28"/>
          <w:szCs w:val="24"/>
          <w:lang w:eastAsia="pl-PL"/>
        </w:rPr>
      </w:pPr>
      <w:r>
        <w:rPr>
          <w:rFonts w:eastAsia="Times New Roman" w:cs="Times New Roman"/>
          <w:b/>
          <w:noProof/>
          <w:sz w:val="28"/>
          <w:szCs w:val="24"/>
          <w:lang w:eastAsia="pl-PL"/>
        </w:rPr>
        <w:t>L</w:t>
      </w:r>
      <w:r w:rsidRPr="00DC7F1B">
        <w:rPr>
          <w:rFonts w:eastAsia="Times New Roman" w:cs="Times New Roman"/>
          <w:b/>
          <w:noProof/>
          <w:sz w:val="28"/>
          <w:szCs w:val="24"/>
          <w:lang w:eastAsia="pl-PL"/>
        </w:rPr>
        <w:t>ECZENI</w:t>
      </w:r>
      <w:r>
        <w:rPr>
          <w:rFonts w:eastAsia="Times New Roman" w:cs="Times New Roman"/>
          <w:b/>
          <w:noProof/>
          <w:sz w:val="28"/>
          <w:szCs w:val="24"/>
          <w:lang w:eastAsia="pl-PL"/>
        </w:rPr>
        <w:t>E</w:t>
      </w:r>
      <w:r w:rsidRPr="00DC7F1B">
        <w:rPr>
          <w:rFonts w:eastAsia="Times New Roman" w:cs="Times New Roman"/>
          <w:b/>
          <w:noProof/>
          <w:sz w:val="28"/>
          <w:szCs w:val="24"/>
          <w:lang w:eastAsia="pl-PL"/>
        </w:rPr>
        <w:t xml:space="preserve"> </w:t>
      </w:r>
      <w:r>
        <w:rPr>
          <w:rFonts w:eastAsia="Times New Roman" w:cs="Times New Roman"/>
          <w:b/>
          <w:noProof/>
          <w:sz w:val="28"/>
          <w:szCs w:val="24"/>
          <w:lang w:eastAsia="pl-PL"/>
        </w:rPr>
        <w:t>A</w:t>
      </w:r>
      <w:r w:rsidRPr="00DC7F1B">
        <w:rPr>
          <w:rFonts w:eastAsia="Times New Roman" w:cs="Times New Roman"/>
          <w:b/>
          <w:noProof/>
          <w:sz w:val="28"/>
          <w:szCs w:val="24"/>
          <w:lang w:eastAsia="pl-PL"/>
        </w:rPr>
        <w:t>TYPOWEGO ZESP</w:t>
      </w:r>
      <w:r>
        <w:rPr>
          <w:rFonts w:eastAsia="Times New Roman" w:cs="Times New Roman"/>
          <w:b/>
          <w:noProof/>
          <w:sz w:val="28"/>
          <w:szCs w:val="24"/>
          <w:lang w:eastAsia="pl-PL"/>
        </w:rPr>
        <w:t>OŁU HEMOLITYCZNO-MOCZNICOWEGO (a</w:t>
      </w:r>
      <w:r w:rsidRPr="00DC7F1B">
        <w:rPr>
          <w:rFonts w:eastAsia="Times New Roman" w:cs="Times New Roman"/>
          <w:b/>
          <w:noProof/>
          <w:sz w:val="28"/>
          <w:szCs w:val="24"/>
          <w:lang w:eastAsia="pl-PL"/>
        </w:rPr>
        <w:t>HUS) (ICD-10 D 59.3)</w:t>
      </w:r>
    </w:p>
    <w:tbl>
      <w:tblPr>
        <w:tblStyle w:val="Tabela-Siatka"/>
        <w:tblW w:w="497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515"/>
        <w:gridCol w:w="2838"/>
        <w:gridCol w:w="5955"/>
      </w:tblGrid>
      <w:tr w:rsidR="00C66DE3" w:rsidRPr="00361D71" w:rsidTr="00361D71">
        <w:trPr>
          <w:trHeight w:val="567"/>
        </w:trPr>
        <w:tc>
          <w:tcPr>
            <w:tcW w:w="5000" w:type="pct"/>
            <w:gridSpan w:val="3"/>
            <w:vAlign w:val="center"/>
          </w:tcPr>
          <w:p w:rsidR="00097CEA" w:rsidRPr="00361D71" w:rsidRDefault="00981304" w:rsidP="00361D71">
            <w:pPr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361D71">
              <w:rPr>
                <w:rFonts w:cs="Times New Roman"/>
                <w:b/>
                <w:noProof/>
                <w:sz w:val="20"/>
                <w:szCs w:val="20"/>
              </w:rPr>
              <w:t>ZAKRES ŚWIADCZENIA GWARANTOWANEGO</w:t>
            </w:r>
          </w:p>
        </w:tc>
      </w:tr>
      <w:tr w:rsidR="00C66DE3" w:rsidRPr="00361D71" w:rsidTr="00361D71">
        <w:trPr>
          <w:trHeight w:val="567"/>
        </w:trPr>
        <w:tc>
          <w:tcPr>
            <w:tcW w:w="2128" w:type="pct"/>
            <w:vAlign w:val="center"/>
          </w:tcPr>
          <w:p w:rsidR="00097CEA" w:rsidRPr="00361D71" w:rsidRDefault="00361D71" w:rsidP="00361D71">
            <w:pPr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361D71">
              <w:rPr>
                <w:rFonts w:cs="Times New Roman"/>
                <w:b/>
                <w:noProof/>
                <w:sz w:val="20"/>
                <w:szCs w:val="20"/>
              </w:rPr>
              <w:t>ŚWIADCZENIOBIORCY</w:t>
            </w:r>
          </w:p>
        </w:tc>
        <w:tc>
          <w:tcPr>
            <w:tcW w:w="927" w:type="pct"/>
            <w:vAlign w:val="center"/>
          </w:tcPr>
          <w:p w:rsidR="00097CEA" w:rsidRPr="00361D71" w:rsidRDefault="00361D71" w:rsidP="00361D71">
            <w:pPr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361D71">
              <w:rPr>
                <w:rFonts w:cs="Times New Roman"/>
                <w:b/>
                <w:noProof/>
                <w:sz w:val="20"/>
                <w:szCs w:val="20"/>
              </w:rPr>
              <w:t>SCHEMAT DAWKOWANIA</w:t>
            </w:r>
          </w:p>
        </w:tc>
        <w:tc>
          <w:tcPr>
            <w:tcW w:w="1945" w:type="pct"/>
            <w:vAlign w:val="center"/>
          </w:tcPr>
          <w:p w:rsidR="00361D71" w:rsidRDefault="00361D71" w:rsidP="00361D71">
            <w:pPr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361D71">
              <w:rPr>
                <w:rFonts w:cs="Times New Roman"/>
                <w:b/>
                <w:noProof/>
                <w:sz w:val="20"/>
                <w:szCs w:val="20"/>
              </w:rPr>
              <w:t xml:space="preserve">BADANIA DIAGNOSTYCZNE WYKONYWANE </w:t>
            </w:r>
          </w:p>
          <w:p w:rsidR="00097CEA" w:rsidRPr="00361D71" w:rsidRDefault="00361D71" w:rsidP="00361D71">
            <w:pPr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361D71">
              <w:rPr>
                <w:rFonts w:cs="Times New Roman"/>
                <w:b/>
                <w:noProof/>
                <w:sz w:val="20"/>
                <w:szCs w:val="20"/>
              </w:rPr>
              <w:t>W RAMACH PROGRAMU</w:t>
            </w:r>
          </w:p>
        </w:tc>
      </w:tr>
      <w:tr w:rsidR="00C66DE3" w:rsidRPr="00361D71" w:rsidTr="00AF1F7E">
        <w:trPr>
          <w:trHeight w:val="7518"/>
        </w:trPr>
        <w:tc>
          <w:tcPr>
            <w:tcW w:w="2128" w:type="pct"/>
          </w:tcPr>
          <w:p w:rsidR="0005789F" w:rsidRPr="00361D71" w:rsidRDefault="0028718E" w:rsidP="00361D7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ind w:left="312" w:hanging="284"/>
              <w:contextualSpacing w:val="0"/>
              <w:jc w:val="both"/>
              <w:rPr>
                <w:rFonts w:eastAsia="Malgun Gothic" w:cs="Times New Roman"/>
                <w:b/>
                <w:bCs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b/>
                <w:bCs/>
                <w:sz w:val="20"/>
                <w:szCs w:val="20"/>
                <w:lang w:eastAsia="pl-PL"/>
              </w:rPr>
              <w:t>Kryteria włączenia</w:t>
            </w:r>
          </w:p>
          <w:p w:rsidR="00866185" w:rsidRPr="00361D71" w:rsidRDefault="00866185" w:rsidP="00361D71">
            <w:pPr>
              <w:autoSpaceDE w:val="0"/>
              <w:autoSpaceDN w:val="0"/>
              <w:adjustRightInd w:val="0"/>
              <w:spacing w:after="60"/>
              <w:jc w:val="both"/>
              <w:rPr>
                <w:rFonts w:eastAsia="Malgun Gothic" w:cs="Times New Roman"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Podczas kwalifikacji do programu oraz gdy jest to wskazane w opisie programu, udział pacjenta w programie wymaga uzyskania akceptacji za pośrednictwem aplikacji SMPT przez Zespół Koordynacyjny do Spraw Leczenia </w:t>
            </w:r>
            <w:r w:rsidR="00BB74F1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A</w:t>
            </w:r>
            <w:r w:rsidR="00F33533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ty</w:t>
            </w:r>
            <w:r w:rsidR="00BB74F1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powego Zespołu H</w:t>
            </w:r>
            <w:r w:rsidR="00F33533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emolityczno-mocznicowego</w:t>
            </w: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, powoływany przez Prezesa Narodowego Funduszu Zdrowia. Do czasu aktualizacji aplikacji SMPT, dopuszcza się udział pacjenta w programie na podstawie akceptacji Zespołu Koordynacyjnego do Spraw </w:t>
            </w:r>
            <w:r w:rsidR="00F33533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Leczenia atypowego zespołu hemolityczno-mocznicowego</w:t>
            </w: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, uzyskanej w inny sposób niż za pośrednictwem aplikacji SMPT. Ponadto, gdy jest to zaznaczone w opisie programu, udział pacjenta może wymagać uzyskania indywidualnej zgody Zespołu, o którym mowa powyżej.</w:t>
            </w:r>
          </w:p>
          <w:p w:rsidR="0005789F" w:rsidRPr="00361D71" w:rsidRDefault="00AA1711" w:rsidP="00361D71">
            <w:pPr>
              <w:autoSpaceDE w:val="0"/>
              <w:autoSpaceDN w:val="0"/>
              <w:adjustRightInd w:val="0"/>
              <w:spacing w:after="60"/>
              <w:jc w:val="both"/>
              <w:rPr>
                <w:rFonts w:eastAsia="Malgun Gothic" w:cs="Times New Roman"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Do leczenia ekulizumabem kwalifikowani są pacjenci z</w:t>
            </w:r>
            <w:r w:rsidR="003166E8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 </w:t>
            </w:r>
            <w:r w:rsidR="00FC3A64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atypowym </w:t>
            </w: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zespołem hemolityczno-mocznicowym:</w:t>
            </w:r>
            <w:r w:rsidR="0005789F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</w:t>
            </w:r>
          </w:p>
          <w:p w:rsidR="0005789F" w:rsidRPr="00361D71" w:rsidRDefault="00077BB5" w:rsidP="00361D71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60"/>
              <w:ind w:left="454" w:hanging="283"/>
              <w:jc w:val="both"/>
              <w:rPr>
                <w:rFonts w:eastAsia="Malgun Gothic" w:cs="Times New Roman"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pacjenci z aHUS </w:t>
            </w:r>
            <w:r w:rsidR="00AA1711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z</w:t>
            </w:r>
            <w:r w:rsidR="00504605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następującymi</w:t>
            </w:r>
            <w:r w:rsidR="00AA1711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</w:t>
            </w:r>
            <w:r w:rsidR="00F72E4D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objawami </w:t>
            </w:r>
            <w:r w:rsidR="00AF04B0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mikroangiopatii zakrzepowej</w:t>
            </w: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:</w:t>
            </w:r>
            <w:r w:rsidR="0005789F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</w:t>
            </w:r>
          </w:p>
          <w:p w:rsidR="0005789F" w:rsidRPr="00361D71" w:rsidRDefault="00AF04B0" w:rsidP="00361D7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880" w:hanging="329"/>
              <w:contextualSpacing w:val="0"/>
              <w:jc w:val="both"/>
              <w:rPr>
                <w:rFonts w:eastAsia="Malgun Gothic" w:cs="Times New Roman"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t</w:t>
            </w:r>
            <w:r w:rsidR="00673048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rombocytopenia</w:t>
            </w:r>
            <w:r w:rsidR="0005789F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</w:t>
            </w:r>
            <w:r w:rsidR="00753748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oraz </w:t>
            </w:r>
            <w:r w:rsidR="00673048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hemoliza</w:t>
            </w:r>
            <w:r w:rsidR="0005789F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: </w:t>
            </w:r>
            <w:r w:rsidR="005B5BA4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liczba</w:t>
            </w:r>
            <w:r w:rsidR="00AB1BB1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</w:t>
            </w:r>
            <w:r w:rsidR="005B5BA4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płytek</w:t>
            </w:r>
            <w:r w:rsidR="0005789F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&lt;150 x 10</w:t>
            </w:r>
            <w:r w:rsidR="0005789F" w:rsidRPr="00361D71">
              <w:rPr>
                <w:rFonts w:eastAsia="Malgun Gothic" w:cs="Times New Roman"/>
                <w:sz w:val="20"/>
                <w:szCs w:val="20"/>
                <w:vertAlign w:val="superscript"/>
                <w:lang w:eastAsia="pl-PL"/>
              </w:rPr>
              <w:t>9</w:t>
            </w:r>
            <w:r w:rsidR="005B5BA4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/L </w:t>
            </w:r>
            <w:r w:rsidR="00753748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lub </w:t>
            </w:r>
            <w:r w:rsidR="00556544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br/>
            </w:r>
            <w:r w:rsidR="0005789F" w:rsidRPr="00361D71">
              <w:rPr>
                <w:rFonts w:eastAsia="Malgun Gothic" w:cs="Times New Roman"/>
                <w:sz w:val="20"/>
                <w:szCs w:val="20"/>
                <w:u w:val="single"/>
                <w:lang w:eastAsia="pl-PL"/>
              </w:rPr>
              <w:t xml:space="preserve">&gt; </w:t>
            </w:r>
            <w:r w:rsidR="0005789F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25% </w:t>
            </w:r>
            <w:r w:rsidR="005B5BA4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spadek w stosunku do stanu</w:t>
            </w:r>
            <w:r w:rsidR="008D48AB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wyjściowego</w:t>
            </w:r>
            <w:r w:rsidR="00D77A41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</w:t>
            </w:r>
            <w:r w:rsidR="005B5BA4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i </w:t>
            </w:r>
            <w:r w:rsidR="00CF5366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podwyższone</w:t>
            </w:r>
            <w:r w:rsidR="005B5BA4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</w:t>
            </w:r>
            <w:r w:rsidR="00CF5366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stężenie</w:t>
            </w:r>
            <w:r w:rsidR="005B5BA4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LDH </w:t>
            </w:r>
            <w:r w:rsidR="00753748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lub </w:t>
            </w:r>
            <w:r w:rsidR="00AB1BB1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rozpad krwinek czerwonych</w:t>
            </w:r>
            <w:r w:rsidR="00EA4787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</w:t>
            </w:r>
            <w:r w:rsidR="00AB1BB1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(obecność </w:t>
            </w:r>
            <w:proofErr w:type="spellStart"/>
            <w:r w:rsidR="00AB1BB1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schistocytów</w:t>
            </w:r>
            <w:proofErr w:type="spellEnd"/>
            <w:r w:rsidR="00AB1BB1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) lub niskie stężenie </w:t>
            </w:r>
            <w:proofErr w:type="spellStart"/>
            <w:r w:rsidR="00AB1BB1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haptoglobiny</w:t>
            </w:r>
            <w:proofErr w:type="spellEnd"/>
            <w:r w:rsidR="00AB1BB1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lub anemia hemolityczna</w:t>
            </w:r>
          </w:p>
          <w:p w:rsidR="0005789F" w:rsidRPr="00361D71" w:rsidRDefault="00753748" w:rsidP="00361D71">
            <w:pPr>
              <w:autoSpaceDE w:val="0"/>
              <w:autoSpaceDN w:val="0"/>
              <w:adjustRightInd w:val="0"/>
              <w:spacing w:after="60"/>
              <w:ind w:left="880" w:hanging="329"/>
              <w:jc w:val="both"/>
              <w:rPr>
                <w:rFonts w:eastAsia="Malgun Gothic" w:cs="Times New Roman"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lub</w:t>
            </w:r>
          </w:p>
          <w:p w:rsidR="0005789F" w:rsidRPr="00361D71" w:rsidRDefault="00AF04B0" w:rsidP="00361D7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880"/>
              <w:contextualSpacing w:val="0"/>
              <w:jc w:val="both"/>
              <w:rPr>
                <w:rFonts w:eastAsia="Malgun Gothic" w:cs="Times New Roman"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b</w:t>
            </w:r>
            <w:r w:rsidR="002A77FC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iopsja tkankowa potwierdzająca </w:t>
            </w:r>
            <w:proofErr w:type="spellStart"/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mikroangiopatię</w:t>
            </w:r>
            <w:proofErr w:type="spellEnd"/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</w:t>
            </w:r>
            <w:r w:rsidR="00953D1E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zakrzepow</w:t>
            </w: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ą</w:t>
            </w:r>
          </w:p>
          <w:p w:rsidR="0005789F" w:rsidRPr="00361D71" w:rsidRDefault="00753748" w:rsidP="00361D71">
            <w:pPr>
              <w:autoSpaceDE w:val="0"/>
              <w:autoSpaceDN w:val="0"/>
              <w:adjustRightInd w:val="0"/>
              <w:spacing w:after="60"/>
              <w:ind w:left="601"/>
              <w:jc w:val="both"/>
              <w:rPr>
                <w:rFonts w:eastAsia="Malgun Gothic" w:cs="Times New Roman"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oraz</w:t>
            </w:r>
          </w:p>
          <w:p w:rsidR="0005789F" w:rsidRPr="00361D71" w:rsidRDefault="00EA4787" w:rsidP="00361D7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880"/>
              <w:contextualSpacing w:val="0"/>
              <w:jc w:val="both"/>
              <w:rPr>
                <w:rFonts w:eastAsia="Malgun Gothic" w:cs="Times New Roman"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z</w:t>
            </w:r>
            <w:r w:rsidR="0028550B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wiązane z </w:t>
            </w: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mikroangiopatią </w:t>
            </w:r>
            <w:r w:rsidR="00953D1E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zakrzepow</w:t>
            </w: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ą</w:t>
            </w:r>
            <w:r w:rsidR="0028550B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uszkodzenie narządów</w:t>
            </w:r>
            <w:r w:rsidR="0005789F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:</w:t>
            </w:r>
          </w:p>
          <w:p w:rsidR="00AD4170" w:rsidRPr="00361D71" w:rsidRDefault="00AD4170" w:rsidP="00361D7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ind w:left="1163" w:hanging="284"/>
              <w:contextualSpacing w:val="0"/>
              <w:jc w:val="both"/>
              <w:rPr>
                <w:rFonts w:eastAsia="Malgun Gothic" w:cs="Times New Roman"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z</w:t>
            </w:r>
            <w:r w:rsidR="0068794B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aburzenia czynności nerek potwierdzone poziomem kreatyniny w surowicy</w:t>
            </w:r>
            <w:r w:rsidR="0005789F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&gt;</w:t>
            </w:r>
            <w:r w:rsidR="00A31E35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górna granica normy dla wieku</w:t>
            </w:r>
          </w:p>
          <w:p w:rsidR="007F3672" w:rsidRPr="00361D71" w:rsidRDefault="00753748" w:rsidP="00361D71">
            <w:pPr>
              <w:autoSpaceDE w:val="0"/>
              <w:autoSpaceDN w:val="0"/>
              <w:adjustRightInd w:val="0"/>
              <w:spacing w:after="60"/>
              <w:ind w:left="1163"/>
              <w:jc w:val="both"/>
              <w:rPr>
                <w:rFonts w:eastAsia="Malgun Gothic" w:cs="Times New Roman"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lub </w:t>
            </w:r>
            <w:r w:rsidR="00F23E89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h</w:t>
            </w:r>
            <w:r w:rsidR="0005789F" w:rsidRPr="00361D71" w:rsidDel="00910DC2">
              <w:rPr>
                <w:rFonts w:eastAsia="Malgun Gothic" w:cs="Times New Roman"/>
                <w:sz w:val="20"/>
                <w:szCs w:val="20"/>
                <w:lang w:eastAsia="pl-PL"/>
              </w:rPr>
              <w:t>emo</w:t>
            </w:r>
            <w:r w:rsidR="00254C0A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dializa</w:t>
            </w:r>
            <w:r w:rsidR="007F3672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, </w:t>
            </w:r>
          </w:p>
          <w:p w:rsidR="0005789F" w:rsidRPr="00361D71" w:rsidRDefault="00CC599B" w:rsidP="00AF1F7E">
            <w:pPr>
              <w:autoSpaceDE w:val="0"/>
              <w:autoSpaceDN w:val="0"/>
              <w:adjustRightInd w:val="0"/>
              <w:spacing w:after="60"/>
              <w:ind w:left="1163"/>
              <w:jc w:val="both"/>
              <w:rPr>
                <w:rFonts w:eastAsia="Malgun Gothic" w:cs="Times New Roman"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lub białkomocz/ albuminuria</w:t>
            </w:r>
            <w:r w:rsidR="00AF1F7E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lub</w:t>
            </w:r>
            <w:bookmarkStart w:id="0" w:name="_GoBack"/>
            <w:bookmarkEnd w:id="0"/>
          </w:p>
          <w:p w:rsidR="00AD4170" w:rsidRPr="00361D71" w:rsidRDefault="00AD4170" w:rsidP="00361D7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ind w:left="1163" w:hanging="284"/>
              <w:contextualSpacing w:val="0"/>
              <w:rPr>
                <w:rFonts w:eastAsia="Malgun Gothic" w:cs="Times New Roman"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lastRenderedPageBreak/>
              <w:t>p</w:t>
            </w:r>
            <w:r w:rsidR="00A64093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owikłania</w:t>
            </w:r>
            <w:r w:rsidR="008D48AB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pozanerkowe</w:t>
            </w:r>
            <w:r w:rsidR="00A64093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wywołane </w:t>
            </w: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mikroangiopatią tkankową</w:t>
            </w:r>
            <w:r w:rsidR="00A64093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, takie</w:t>
            </w:r>
            <w:r w:rsidR="007F3672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</w:t>
            </w:r>
            <w:r w:rsidR="00A64093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jak</w:t>
            </w: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:</w:t>
            </w:r>
            <w:r w:rsidR="00A64093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</w:t>
            </w:r>
            <w:r w:rsidR="000C53B5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br/>
            </w:r>
            <w:r w:rsidR="00A64093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powikłania sercowo-naczyniowe, </w:t>
            </w:r>
            <w:r w:rsidR="007F3672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lub </w:t>
            </w:r>
            <w:r w:rsidR="00A64093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neur</w:t>
            </w:r>
            <w:r w:rsidR="00F23E89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ologiczne, </w:t>
            </w:r>
            <w:r w:rsidR="00CC599B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lub</w:t>
            </w:r>
          </w:p>
          <w:p w:rsidR="0005789F" w:rsidRPr="00361D71" w:rsidRDefault="00F23E89" w:rsidP="00361D71">
            <w:pPr>
              <w:autoSpaceDE w:val="0"/>
              <w:autoSpaceDN w:val="0"/>
              <w:adjustRightInd w:val="0"/>
              <w:spacing w:after="60"/>
              <w:ind w:left="1163"/>
              <w:jc w:val="both"/>
              <w:rPr>
                <w:rFonts w:eastAsia="Malgun Gothic" w:cs="Times New Roman"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żołą</w:t>
            </w:r>
            <w:r w:rsidR="00A64093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dkowo-jelitowe</w:t>
            </w:r>
            <w:r w:rsidR="007F3672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</w:t>
            </w:r>
            <w:r w:rsidR="00A64093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lub płucne</w:t>
            </w:r>
          </w:p>
          <w:p w:rsidR="0005789F" w:rsidRPr="00361D71" w:rsidRDefault="00753748" w:rsidP="00361D71">
            <w:pPr>
              <w:autoSpaceDE w:val="0"/>
              <w:autoSpaceDN w:val="0"/>
              <w:adjustRightInd w:val="0"/>
              <w:spacing w:after="60"/>
              <w:ind w:left="459"/>
              <w:jc w:val="both"/>
              <w:rPr>
                <w:rFonts w:eastAsia="Malgun Gothic" w:cs="Times New Roman"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lub</w:t>
            </w:r>
          </w:p>
          <w:p w:rsidR="0005789F" w:rsidRPr="00361D71" w:rsidRDefault="00881D15" w:rsidP="00361D7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/>
              <w:ind w:left="454" w:hanging="283"/>
              <w:contextualSpacing w:val="0"/>
              <w:jc w:val="both"/>
              <w:rPr>
                <w:rFonts w:eastAsia="Malgun Gothic" w:cs="Times New Roman"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pacjenci z </w:t>
            </w:r>
            <w:r w:rsidR="0005789F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aHUS</w:t>
            </w:r>
            <w:r w:rsidR="00433221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, u których stosowana jest</w:t>
            </w:r>
            <w:r w:rsidR="00EF253C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</w:t>
            </w:r>
            <w:r w:rsidR="00433221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plazmafereza</w:t>
            </w:r>
            <w:r w:rsidR="00E206D5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/przetoczenie osocza</w:t>
            </w:r>
            <w:r w:rsidR="00EE22F3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;</w:t>
            </w:r>
          </w:p>
          <w:p w:rsidR="0005789F" w:rsidRPr="00361D71" w:rsidRDefault="00D36DB7" w:rsidP="00361D71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60"/>
              <w:ind w:left="454" w:hanging="283"/>
              <w:jc w:val="both"/>
              <w:rPr>
                <w:rFonts w:eastAsia="Malgun Gothic" w:cs="Times New Roman"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pacjenci z </w:t>
            </w:r>
            <w:r w:rsidR="0005789F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aHUS</w:t>
            </w: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 zakwalifikowani do przeszczepu nerki</w:t>
            </w:r>
            <w:r w:rsidR="00EE22F3"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;</w:t>
            </w:r>
          </w:p>
          <w:p w:rsidR="008571E4" w:rsidRPr="00361D71" w:rsidRDefault="008571E4" w:rsidP="00361D71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60"/>
              <w:ind w:left="454" w:hanging="283"/>
              <w:jc w:val="both"/>
              <w:rPr>
                <w:rFonts w:eastAsia="Malgun Gothic" w:cs="Times New Roman"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>u ww. grup pacjentów z aHUS wymagane są wyniki badań:</w:t>
            </w:r>
          </w:p>
          <w:p w:rsidR="00EE22F3" w:rsidRPr="00361D71" w:rsidRDefault="00EE22F3" w:rsidP="00361D7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ind w:left="880"/>
              <w:contextualSpacing w:val="0"/>
              <w:jc w:val="both"/>
              <w:rPr>
                <w:rFonts w:eastAsia="Malgun Gothic" w:cs="Times New Roman"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sz w:val="20"/>
                <w:szCs w:val="20"/>
                <w:lang w:eastAsia="pl-PL"/>
              </w:rPr>
              <w:t xml:space="preserve">aktywność </w:t>
            </w:r>
            <w:r w:rsidRPr="00361D71">
              <w:rPr>
                <w:rFonts w:cs="Times New Roman"/>
                <w:sz w:val="20"/>
                <w:szCs w:val="20"/>
              </w:rPr>
              <w:t>ADAMTS-13 &gt;5%</w:t>
            </w:r>
            <w:r w:rsidR="008571E4" w:rsidRPr="00361D71">
              <w:rPr>
                <w:rFonts w:cs="Times New Roman"/>
                <w:sz w:val="20"/>
                <w:szCs w:val="20"/>
              </w:rPr>
              <w:t>,</w:t>
            </w:r>
          </w:p>
          <w:p w:rsidR="008571E4" w:rsidRPr="00361D71" w:rsidRDefault="008571E4" w:rsidP="00361D7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ind w:left="880"/>
              <w:contextualSpacing w:val="0"/>
              <w:jc w:val="both"/>
              <w:rPr>
                <w:rFonts w:eastAsia="Malgun Gothic" w:cs="Times New Roman"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sz w:val="20"/>
                <w:szCs w:val="20"/>
              </w:rPr>
              <w:t>negatywny</w:t>
            </w:r>
            <w:r w:rsidRPr="00361D71">
              <w:rPr>
                <w:rFonts w:eastAsia="Malgun Gothic" w:cs="Times New Roman"/>
                <w:sz w:val="20"/>
                <w:szCs w:val="20"/>
              </w:rPr>
              <w:t xml:space="preserve"> wynik badania STEC (</w:t>
            </w:r>
            <w:proofErr w:type="spellStart"/>
            <w:r w:rsidRPr="00361D71">
              <w:rPr>
                <w:rFonts w:eastAsia="Malgun Gothic" w:cs="Times New Roman"/>
                <w:sz w:val="20"/>
                <w:szCs w:val="20"/>
              </w:rPr>
              <w:t>Shiga-Toxin</w:t>
            </w:r>
            <w:proofErr w:type="spellEnd"/>
            <w:r w:rsidRPr="00361D71">
              <w:rPr>
                <w:rFonts w:eastAsia="Malgun Gothic" w:cs="Times New Roman"/>
                <w:sz w:val="20"/>
                <w:szCs w:val="20"/>
              </w:rPr>
              <w:t xml:space="preserve"> Escherichia coli) w</w:t>
            </w:r>
            <w:r w:rsidR="00104C6F" w:rsidRPr="00361D71">
              <w:rPr>
                <w:rFonts w:eastAsia="Malgun Gothic" w:cs="Times New Roman"/>
                <w:sz w:val="20"/>
                <w:szCs w:val="20"/>
              </w:rPr>
              <w:t> </w:t>
            </w:r>
            <w:r w:rsidRPr="00361D71">
              <w:rPr>
                <w:rFonts w:eastAsia="Malgun Gothic" w:cs="Times New Roman"/>
                <w:sz w:val="20"/>
                <w:szCs w:val="20"/>
              </w:rPr>
              <w:t>teście (PCR) lub hodowli bakteryjnej</w:t>
            </w:r>
            <w:r w:rsidR="00C04EE6" w:rsidRPr="00361D71">
              <w:rPr>
                <w:rFonts w:eastAsia="Malgun Gothic" w:cs="Times New Roman"/>
                <w:sz w:val="20"/>
                <w:szCs w:val="20"/>
              </w:rPr>
              <w:t xml:space="preserve"> w pierwszym rzucie choroby</w:t>
            </w:r>
            <w:r w:rsidRPr="00361D71">
              <w:rPr>
                <w:rFonts w:eastAsia="Malgun Gothic" w:cs="Times New Roman"/>
                <w:sz w:val="20"/>
                <w:szCs w:val="20"/>
              </w:rPr>
              <w:t>;</w:t>
            </w:r>
          </w:p>
          <w:p w:rsidR="006A11A3" w:rsidRPr="00361D71" w:rsidRDefault="00B61C4A" w:rsidP="00361D71">
            <w:pPr>
              <w:pStyle w:val="Akapitzlist"/>
              <w:numPr>
                <w:ilvl w:val="2"/>
                <w:numId w:val="16"/>
              </w:numPr>
              <w:spacing w:after="60"/>
              <w:ind w:left="454" w:hanging="284"/>
              <w:contextualSpacing w:val="0"/>
              <w:jc w:val="both"/>
              <w:rPr>
                <w:rFonts w:eastAsia="Malgun Gothic" w:cs="Times New Roman"/>
                <w:sz w:val="20"/>
                <w:szCs w:val="20"/>
              </w:rPr>
            </w:pPr>
            <w:r w:rsidRPr="00361D71">
              <w:rPr>
                <w:rFonts w:eastAsia="Malgun Gothic" w:cs="Times New Roman"/>
                <w:sz w:val="20"/>
                <w:szCs w:val="20"/>
              </w:rPr>
              <w:t>w przyp</w:t>
            </w:r>
            <w:r w:rsidR="000C53B5" w:rsidRPr="00361D71">
              <w:rPr>
                <w:rFonts w:eastAsia="Malgun Gothic" w:cs="Times New Roman"/>
                <w:sz w:val="20"/>
                <w:szCs w:val="20"/>
              </w:rPr>
              <w:t xml:space="preserve">adku kobiet w wieku rozrodczym </w:t>
            </w:r>
            <w:r w:rsidRPr="00361D71">
              <w:rPr>
                <w:rFonts w:eastAsia="Malgun Gothic" w:cs="Times New Roman"/>
                <w:sz w:val="20"/>
                <w:szCs w:val="20"/>
              </w:rPr>
              <w:t>wymagana jest zgoda na świadomą kontrolę urodzeń w czasie leczenia i</w:t>
            </w:r>
            <w:r w:rsidR="003166E8" w:rsidRPr="00361D71">
              <w:rPr>
                <w:rFonts w:eastAsia="Malgun Gothic" w:cs="Times New Roman"/>
                <w:sz w:val="20"/>
                <w:szCs w:val="20"/>
              </w:rPr>
              <w:t> </w:t>
            </w:r>
            <w:r w:rsidRPr="00361D71">
              <w:rPr>
                <w:rFonts w:eastAsia="Malgun Gothic" w:cs="Times New Roman"/>
                <w:sz w:val="20"/>
                <w:szCs w:val="20"/>
              </w:rPr>
              <w:t>w ciągu 5 miesięcy od zastosowania ostatniej dawki ekulizumabu</w:t>
            </w:r>
            <w:r w:rsidR="006A11A3" w:rsidRPr="00361D71">
              <w:rPr>
                <w:rFonts w:eastAsia="Malgun Gothic" w:cs="Times New Roman"/>
                <w:sz w:val="20"/>
                <w:szCs w:val="20"/>
              </w:rPr>
              <w:t>;</w:t>
            </w:r>
          </w:p>
          <w:p w:rsidR="0005789F" w:rsidRDefault="006A11A3" w:rsidP="00361D71">
            <w:pPr>
              <w:pStyle w:val="Akapitzlist"/>
              <w:numPr>
                <w:ilvl w:val="2"/>
                <w:numId w:val="16"/>
              </w:numPr>
              <w:spacing w:after="60"/>
              <w:ind w:left="454" w:hanging="284"/>
              <w:contextualSpacing w:val="0"/>
              <w:jc w:val="both"/>
              <w:rPr>
                <w:rFonts w:eastAsia="Malgun Gothic" w:cs="Times New Roman"/>
                <w:sz w:val="20"/>
                <w:szCs w:val="20"/>
              </w:rPr>
            </w:pPr>
            <w:r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wykonanie obowiązkowego szczepienia przeciw meningokokom</w:t>
            </w:r>
            <w:r w:rsidR="008571E4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, w</w:t>
            </w:r>
            <w:r w:rsidR="00CC599B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 </w:t>
            </w:r>
            <w:r w:rsidR="008571E4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 xml:space="preserve">przypadku </w:t>
            </w:r>
            <w:r w:rsidR="00A63089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konieczności wdrożenia leczenia przed upływem 2 tygodni po wykonaniu szczepienia przeciw menigokokom -</w:t>
            </w:r>
            <w:r w:rsidR="00CC599B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profilaktyka antybiotykowa</w:t>
            </w:r>
            <w:r w:rsidR="00B61C4A" w:rsidRPr="00361D71">
              <w:rPr>
                <w:rFonts w:eastAsia="Malgun Gothic" w:cs="Times New Roman"/>
                <w:sz w:val="20"/>
                <w:szCs w:val="20"/>
              </w:rPr>
              <w:t>.</w:t>
            </w:r>
          </w:p>
          <w:p w:rsidR="00361D71" w:rsidRPr="00361D71" w:rsidRDefault="00361D71" w:rsidP="00361D71">
            <w:pPr>
              <w:pStyle w:val="Akapitzlist"/>
              <w:spacing w:after="60"/>
              <w:ind w:left="454"/>
              <w:contextualSpacing w:val="0"/>
              <w:jc w:val="both"/>
              <w:rPr>
                <w:rFonts w:eastAsia="Malgun Gothic" w:cs="Times New Roman"/>
                <w:sz w:val="20"/>
                <w:szCs w:val="20"/>
              </w:rPr>
            </w:pPr>
          </w:p>
          <w:p w:rsidR="0005789F" w:rsidRPr="00361D71" w:rsidRDefault="00BF6B81" w:rsidP="00361D7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ind w:left="313" w:hanging="284"/>
              <w:contextualSpacing w:val="0"/>
              <w:jc w:val="both"/>
              <w:rPr>
                <w:rFonts w:cs="Times New Roman"/>
                <w:b/>
                <w:bCs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b/>
                <w:bCs/>
                <w:sz w:val="20"/>
                <w:szCs w:val="20"/>
                <w:lang w:eastAsia="pl-PL"/>
              </w:rPr>
              <w:t>Określenie czasu leczenia w programi</w:t>
            </w:r>
            <w:r w:rsidR="0005789F" w:rsidRPr="00361D71">
              <w:rPr>
                <w:rFonts w:cs="Times New Roman"/>
                <w:b/>
                <w:bCs/>
                <w:sz w:val="20"/>
                <w:szCs w:val="20"/>
                <w:lang w:eastAsia="pl-PL"/>
              </w:rPr>
              <w:t>e</w:t>
            </w:r>
          </w:p>
          <w:p w:rsidR="00104C6F" w:rsidRPr="00361D71" w:rsidRDefault="00BB74F1" w:rsidP="00361D71">
            <w:pPr>
              <w:pStyle w:val="Akapitzlist"/>
              <w:numPr>
                <w:ilvl w:val="0"/>
                <w:numId w:val="17"/>
              </w:numPr>
              <w:spacing w:after="60"/>
              <w:ind w:left="459"/>
              <w:contextualSpacing w:val="0"/>
              <w:jc w:val="both"/>
              <w:rPr>
                <w:rFonts w:cs="Times New Roman"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sz w:val="20"/>
                <w:szCs w:val="20"/>
                <w:lang w:eastAsia="pl-PL"/>
              </w:rPr>
              <w:t>Kryteria kwalifikacji i wyłączenia z programu określają czas leczenia w</w:t>
            </w:r>
            <w:r w:rsidR="00CC599B" w:rsidRPr="00361D71">
              <w:rPr>
                <w:rFonts w:cs="Times New Roman"/>
                <w:sz w:val="20"/>
                <w:szCs w:val="20"/>
                <w:lang w:eastAsia="pl-PL"/>
              </w:rPr>
              <w:t> </w:t>
            </w:r>
            <w:r w:rsidR="00CB4ED1" w:rsidRPr="00361D71">
              <w:rPr>
                <w:rFonts w:cs="Times New Roman"/>
                <w:sz w:val="20"/>
                <w:szCs w:val="20"/>
                <w:lang w:eastAsia="pl-PL"/>
              </w:rPr>
              <w:t>programie;</w:t>
            </w:r>
          </w:p>
          <w:p w:rsidR="00104C6F" w:rsidRPr="00361D71" w:rsidRDefault="00620D2D" w:rsidP="00361D71">
            <w:pPr>
              <w:pStyle w:val="Akapitzlist"/>
              <w:numPr>
                <w:ilvl w:val="0"/>
                <w:numId w:val="17"/>
              </w:numPr>
              <w:spacing w:after="60"/>
              <w:ind w:left="459"/>
              <w:contextualSpacing w:val="0"/>
              <w:jc w:val="both"/>
              <w:rPr>
                <w:rFonts w:cs="Times New Roman"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sz w:val="20"/>
                <w:szCs w:val="20"/>
                <w:lang w:eastAsia="pl-PL"/>
              </w:rPr>
              <w:t>Po 6 miesiącach od rozpoczęcia leczenia o</w:t>
            </w:r>
            <w:r w:rsidR="005E5B08" w:rsidRPr="00361D71">
              <w:rPr>
                <w:rFonts w:cs="Times New Roman"/>
                <w:sz w:val="20"/>
                <w:szCs w:val="20"/>
                <w:lang w:eastAsia="pl-PL"/>
              </w:rPr>
              <w:t xml:space="preserve">środek </w:t>
            </w:r>
            <w:r w:rsidR="00685AF6" w:rsidRPr="00361D71">
              <w:rPr>
                <w:rFonts w:cs="Times New Roman"/>
                <w:sz w:val="20"/>
                <w:szCs w:val="20"/>
                <w:lang w:eastAsia="pl-PL"/>
              </w:rPr>
              <w:t xml:space="preserve">prowadzący występuje do Zespołu Koordynacyjnego z wnioskiem o kontynuację lub </w:t>
            </w:r>
            <w:r w:rsidR="00CC599B" w:rsidRPr="00361D71">
              <w:rPr>
                <w:rFonts w:cs="Times New Roman"/>
                <w:sz w:val="20"/>
                <w:szCs w:val="20"/>
                <w:lang w:eastAsia="pl-PL"/>
              </w:rPr>
              <w:t>czasowe przerwanie leczenia</w:t>
            </w:r>
            <w:r w:rsidR="00685AF6" w:rsidRPr="00361D71">
              <w:rPr>
                <w:rFonts w:cs="Times New Roman"/>
                <w:sz w:val="20"/>
                <w:szCs w:val="20"/>
                <w:lang w:eastAsia="pl-PL"/>
              </w:rPr>
              <w:t xml:space="preserve"> z uzupełni</w:t>
            </w:r>
            <w:r w:rsidR="00567DC2" w:rsidRPr="00361D71">
              <w:rPr>
                <w:rFonts w:cs="Times New Roman"/>
                <w:sz w:val="20"/>
                <w:szCs w:val="20"/>
                <w:lang w:eastAsia="pl-PL"/>
              </w:rPr>
              <w:t xml:space="preserve">eniem </w:t>
            </w:r>
            <w:r w:rsidR="00685AF6" w:rsidRPr="00361D71">
              <w:rPr>
                <w:rFonts w:cs="Times New Roman"/>
                <w:sz w:val="20"/>
                <w:szCs w:val="20"/>
                <w:lang w:eastAsia="pl-PL"/>
              </w:rPr>
              <w:t>wynik</w:t>
            </w:r>
            <w:r w:rsidR="00567DC2" w:rsidRPr="00361D71">
              <w:rPr>
                <w:rFonts w:cs="Times New Roman"/>
                <w:sz w:val="20"/>
                <w:szCs w:val="20"/>
                <w:lang w:eastAsia="pl-PL"/>
              </w:rPr>
              <w:t>ów</w:t>
            </w:r>
            <w:r w:rsidR="00685AF6" w:rsidRPr="00361D71">
              <w:rPr>
                <w:rFonts w:cs="Times New Roman"/>
                <w:sz w:val="20"/>
                <w:szCs w:val="20"/>
                <w:lang w:eastAsia="pl-PL"/>
              </w:rPr>
              <w:t xml:space="preserve"> badań układu d</w:t>
            </w:r>
            <w:r w:rsidR="00063F95" w:rsidRPr="00361D71">
              <w:rPr>
                <w:rFonts w:cs="Times New Roman"/>
                <w:sz w:val="20"/>
                <w:szCs w:val="20"/>
                <w:lang w:eastAsia="pl-PL"/>
              </w:rPr>
              <w:t>opełniacza i badań genetycznych</w:t>
            </w:r>
            <w:r w:rsidR="00CB4ED1" w:rsidRPr="00361D71">
              <w:rPr>
                <w:rFonts w:cs="Times New Roman"/>
                <w:sz w:val="20"/>
                <w:szCs w:val="20"/>
                <w:lang w:eastAsia="pl-PL"/>
              </w:rPr>
              <w:t>;</w:t>
            </w:r>
          </w:p>
          <w:p w:rsidR="00104C6F" w:rsidRPr="00361D71" w:rsidRDefault="007C1289" w:rsidP="00361D71">
            <w:pPr>
              <w:pStyle w:val="Akapitzlist"/>
              <w:spacing w:after="60"/>
              <w:ind w:left="743" w:hanging="198"/>
              <w:contextualSpacing w:val="0"/>
              <w:jc w:val="both"/>
              <w:rPr>
                <w:rFonts w:cs="Times New Roman"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sz w:val="20"/>
                <w:szCs w:val="20"/>
                <w:lang w:eastAsia="pl-PL"/>
              </w:rPr>
              <w:t>a) </w:t>
            </w:r>
            <w:r w:rsidR="00685AF6" w:rsidRPr="00361D71">
              <w:rPr>
                <w:rFonts w:cs="Times New Roman"/>
                <w:sz w:val="20"/>
                <w:szCs w:val="20"/>
                <w:lang w:eastAsia="pl-PL"/>
              </w:rPr>
              <w:t xml:space="preserve">Zespół </w:t>
            </w:r>
            <w:r w:rsidR="00620D2D" w:rsidRPr="00361D71">
              <w:rPr>
                <w:rFonts w:cs="Times New Roman"/>
                <w:sz w:val="20"/>
                <w:szCs w:val="20"/>
                <w:lang w:eastAsia="pl-PL"/>
              </w:rPr>
              <w:t>K</w:t>
            </w:r>
            <w:r w:rsidR="00685AF6" w:rsidRPr="00361D71">
              <w:rPr>
                <w:rFonts w:cs="Times New Roman"/>
                <w:sz w:val="20"/>
                <w:szCs w:val="20"/>
                <w:lang w:eastAsia="pl-PL"/>
              </w:rPr>
              <w:t>oordynacyjny ds. leczenia aHUS podejmuje decyzje o</w:t>
            </w:r>
            <w:r w:rsidR="00CC599B" w:rsidRPr="00361D71">
              <w:rPr>
                <w:rFonts w:cs="Times New Roman"/>
                <w:sz w:val="20"/>
                <w:szCs w:val="20"/>
                <w:lang w:eastAsia="pl-PL"/>
              </w:rPr>
              <w:t> </w:t>
            </w:r>
            <w:r w:rsidR="00685AF6" w:rsidRPr="00361D71">
              <w:rPr>
                <w:rFonts w:cs="Times New Roman"/>
                <w:sz w:val="20"/>
                <w:szCs w:val="20"/>
                <w:lang w:eastAsia="pl-PL"/>
              </w:rPr>
              <w:t>kontynuacji leczenia ekulizumabem u chorych z wy</w:t>
            </w:r>
            <w:r w:rsidR="00CB4ED1" w:rsidRPr="00361D71">
              <w:rPr>
                <w:rFonts w:cs="Times New Roman"/>
                <w:sz w:val="20"/>
                <w:szCs w:val="20"/>
                <w:lang w:eastAsia="pl-PL"/>
              </w:rPr>
              <w:t>sokim ryzykiem nawrotu choroby;</w:t>
            </w:r>
          </w:p>
          <w:p w:rsidR="00104C6F" w:rsidRPr="00361D71" w:rsidRDefault="007C1289" w:rsidP="00361D71">
            <w:pPr>
              <w:pStyle w:val="Akapitzlist"/>
              <w:spacing w:after="60"/>
              <w:ind w:left="743" w:hanging="198"/>
              <w:contextualSpacing w:val="0"/>
              <w:jc w:val="both"/>
              <w:rPr>
                <w:rFonts w:cs="Times New Roman"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sz w:val="20"/>
                <w:szCs w:val="20"/>
                <w:lang w:eastAsia="pl-PL"/>
              </w:rPr>
              <w:t>b) </w:t>
            </w:r>
            <w:r w:rsidR="00685AF6" w:rsidRPr="00361D71">
              <w:rPr>
                <w:rFonts w:cs="Times New Roman"/>
                <w:sz w:val="20"/>
                <w:szCs w:val="20"/>
                <w:lang w:eastAsia="pl-PL"/>
              </w:rPr>
              <w:t>Zespół Koordynacyjny podejmuje decyzję o możliwoś</w:t>
            </w:r>
            <w:r w:rsidR="00EC1C7A" w:rsidRPr="00361D71">
              <w:rPr>
                <w:rFonts w:cs="Times New Roman"/>
                <w:sz w:val="20"/>
                <w:szCs w:val="20"/>
                <w:lang w:eastAsia="pl-PL"/>
              </w:rPr>
              <w:t>c</w:t>
            </w:r>
            <w:r w:rsidR="00CC599B" w:rsidRPr="00361D71">
              <w:rPr>
                <w:rFonts w:cs="Times New Roman"/>
                <w:sz w:val="20"/>
                <w:szCs w:val="20"/>
                <w:lang w:eastAsia="pl-PL"/>
              </w:rPr>
              <w:t xml:space="preserve">i </w:t>
            </w:r>
            <w:r w:rsidR="00685AF6" w:rsidRPr="00361D71">
              <w:rPr>
                <w:rFonts w:cs="Times New Roman"/>
                <w:sz w:val="20"/>
                <w:szCs w:val="20"/>
                <w:lang w:eastAsia="pl-PL"/>
              </w:rPr>
              <w:t xml:space="preserve">czasowego przerwania podawania </w:t>
            </w:r>
            <w:r w:rsidR="00CC599B" w:rsidRPr="00361D71">
              <w:rPr>
                <w:rFonts w:cs="Times New Roman"/>
                <w:sz w:val="20"/>
                <w:szCs w:val="20"/>
                <w:lang w:eastAsia="pl-PL"/>
              </w:rPr>
              <w:t>e</w:t>
            </w:r>
            <w:r w:rsidR="00361D71">
              <w:rPr>
                <w:rFonts w:cs="Times New Roman"/>
                <w:sz w:val="20"/>
                <w:szCs w:val="20"/>
                <w:lang w:eastAsia="pl-PL"/>
              </w:rPr>
              <w:t>k</w:t>
            </w:r>
            <w:r w:rsidR="00CC599B" w:rsidRPr="00361D71">
              <w:rPr>
                <w:rFonts w:cs="Times New Roman"/>
                <w:sz w:val="20"/>
                <w:szCs w:val="20"/>
                <w:lang w:eastAsia="pl-PL"/>
              </w:rPr>
              <w:t>ulizumabu</w:t>
            </w:r>
            <w:r w:rsidR="00F33533" w:rsidRPr="00361D71">
              <w:rPr>
                <w:rFonts w:cs="Times New Roman"/>
                <w:sz w:val="20"/>
                <w:szCs w:val="20"/>
                <w:lang w:eastAsia="pl-PL"/>
              </w:rPr>
              <w:t xml:space="preserve"> u chorych z</w:t>
            </w:r>
            <w:r w:rsidR="00CC599B" w:rsidRPr="00361D71">
              <w:rPr>
                <w:rFonts w:cs="Times New Roman"/>
                <w:sz w:val="20"/>
                <w:szCs w:val="20"/>
                <w:lang w:eastAsia="pl-PL"/>
              </w:rPr>
              <w:t> </w:t>
            </w:r>
            <w:r w:rsidR="00F33533" w:rsidRPr="00361D71">
              <w:rPr>
                <w:rFonts w:cs="Times New Roman"/>
                <w:sz w:val="20"/>
                <w:szCs w:val="20"/>
                <w:lang w:eastAsia="pl-PL"/>
              </w:rPr>
              <w:t>ni</w:t>
            </w:r>
            <w:r w:rsidR="00685AF6" w:rsidRPr="00361D71">
              <w:rPr>
                <w:rFonts w:cs="Times New Roman"/>
                <w:sz w:val="20"/>
                <w:szCs w:val="20"/>
                <w:lang w:eastAsia="pl-PL"/>
              </w:rPr>
              <w:t>skim</w:t>
            </w:r>
            <w:r w:rsidR="00F33533" w:rsidRPr="00361D71">
              <w:rPr>
                <w:rFonts w:cs="Times New Roman"/>
                <w:sz w:val="20"/>
                <w:szCs w:val="20"/>
                <w:lang w:eastAsia="pl-PL"/>
              </w:rPr>
              <w:t xml:space="preserve"> ryzykiem nawrotu choroby, u których uzyskano remisję objawów i powrót prawidłowe</w:t>
            </w:r>
            <w:r w:rsidR="00CB4ED1" w:rsidRPr="00361D71">
              <w:rPr>
                <w:rFonts w:cs="Times New Roman"/>
                <w:sz w:val="20"/>
                <w:szCs w:val="20"/>
                <w:lang w:eastAsia="pl-PL"/>
              </w:rPr>
              <w:t>j funkcji narządów wewnętrznych;</w:t>
            </w:r>
          </w:p>
          <w:p w:rsidR="00104C6F" w:rsidRPr="00361D71" w:rsidRDefault="00063F95" w:rsidP="00361D71">
            <w:pPr>
              <w:pStyle w:val="Akapitzlist"/>
              <w:numPr>
                <w:ilvl w:val="0"/>
                <w:numId w:val="17"/>
              </w:numPr>
              <w:spacing w:after="60"/>
              <w:ind w:left="459"/>
              <w:contextualSpacing w:val="0"/>
              <w:jc w:val="both"/>
              <w:rPr>
                <w:rFonts w:cs="Times New Roman"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sz w:val="20"/>
                <w:szCs w:val="20"/>
                <w:lang w:eastAsia="pl-PL"/>
              </w:rPr>
              <w:lastRenderedPageBreak/>
              <w:t>Lekarz</w:t>
            </w:r>
            <w:r w:rsidR="00772119" w:rsidRPr="00361D71">
              <w:rPr>
                <w:rFonts w:cs="Times New Roman"/>
                <w:sz w:val="20"/>
                <w:szCs w:val="20"/>
                <w:lang w:eastAsia="pl-PL"/>
              </w:rPr>
              <w:t xml:space="preserve"> prowadzący może podjąć decyzję o czasowym zawieszeniu </w:t>
            </w:r>
            <w:r w:rsidR="00F31D2F" w:rsidRPr="00361D71">
              <w:rPr>
                <w:rFonts w:cs="Times New Roman"/>
                <w:sz w:val="20"/>
                <w:szCs w:val="20"/>
                <w:lang w:eastAsia="pl-PL"/>
              </w:rPr>
              <w:t>w podawaniu leku</w:t>
            </w:r>
            <w:r w:rsidR="00772119" w:rsidRPr="00361D71">
              <w:rPr>
                <w:rFonts w:cs="Times New Roman"/>
                <w:sz w:val="20"/>
                <w:szCs w:val="20"/>
                <w:lang w:eastAsia="pl-PL"/>
              </w:rPr>
              <w:t xml:space="preserve"> u kobiet ciężarnych lu</w:t>
            </w:r>
            <w:r w:rsidR="00F31D2F" w:rsidRPr="00361D71">
              <w:rPr>
                <w:rFonts w:cs="Times New Roman"/>
                <w:sz w:val="20"/>
                <w:szCs w:val="20"/>
                <w:lang w:eastAsia="pl-PL"/>
              </w:rPr>
              <w:t>b karmiących piersią, zgodnie z </w:t>
            </w:r>
            <w:r w:rsidR="00772119" w:rsidRPr="00361D71">
              <w:rPr>
                <w:rFonts w:cs="Times New Roman"/>
                <w:sz w:val="20"/>
                <w:szCs w:val="20"/>
                <w:lang w:eastAsia="pl-PL"/>
              </w:rPr>
              <w:t>ChPL</w:t>
            </w:r>
            <w:r w:rsidR="00F31D2F" w:rsidRPr="00361D71">
              <w:rPr>
                <w:rFonts w:cs="Times New Roman"/>
                <w:sz w:val="20"/>
                <w:szCs w:val="20"/>
                <w:lang w:eastAsia="pl-PL"/>
              </w:rPr>
              <w:t>,</w:t>
            </w:r>
            <w:r w:rsidR="00772119" w:rsidRPr="00361D71">
              <w:rPr>
                <w:rFonts w:cs="Times New Roman"/>
                <w:sz w:val="20"/>
                <w:szCs w:val="20"/>
                <w:lang w:eastAsia="pl-PL"/>
              </w:rPr>
              <w:t xml:space="preserve"> jeżeli dalsze leczenie n</w:t>
            </w:r>
            <w:r w:rsidR="00CB4ED1" w:rsidRPr="00361D71">
              <w:rPr>
                <w:rFonts w:cs="Times New Roman"/>
                <w:sz w:val="20"/>
                <w:szCs w:val="20"/>
                <w:lang w:eastAsia="pl-PL"/>
              </w:rPr>
              <w:t>ie jest bezwzględnie konieczne</w:t>
            </w:r>
            <w:r w:rsidR="00F31D2F" w:rsidRPr="00361D71">
              <w:rPr>
                <w:rFonts w:cs="Times New Roman"/>
                <w:sz w:val="20"/>
                <w:szCs w:val="20"/>
                <w:lang w:eastAsia="pl-PL"/>
              </w:rPr>
              <w:t xml:space="preserve"> – lekarz prowadzący informuje Zespół Koordynacyjny o czasowym zawieszeniu oraz o ewentualnym wznowieniu leczenia</w:t>
            </w:r>
            <w:r w:rsidR="00CB4ED1" w:rsidRPr="00361D71">
              <w:rPr>
                <w:rFonts w:cs="Times New Roman"/>
                <w:sz w:val="20"/>
                <w:szCs w:val="20"/>
                <w:lang w:eastAsia="pl-PL"/>
              </w:rPr>
              <w:t>;</w:t>
            </w:r>
          </w:p>
          <w:p w:rsidR="00104C6F" w:rsidRPr="00361D71" w:rsidRDefault="00CB4ED1" w:rsidP="00361D71">
            <w:pPr>
              <w:pStyle w:val="Akapitzlist"/>
              <w:numPr>
                <w:ilvl w:val="0"/>
                <w:numId w:val="17"/>
              </w:numPr>
              <w:spacing w:after="60"/>
              <w:ind w:left="459"/>
              <w:contextualSpacing w:val="0"/>
              <w:jc w:val="both"/>
              <w:rPr>
                <w:rFonts w:cs="Times New Roman"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sz w:val="20"/>
                <w:szCs w:val="20"/>
                <w:lang w:eastAsia="pl-PL"/>
              </w:rPr>
              <w:t>Chorzy</w:t>
            </w:r>
            <w:r w:rsidR="00A65774" w:rsidRPr="00361D71">
              <w:rPr>
                <w:rFonts w:cs="Times New Roman"/>
                <w:sz w:val="20"/>
                <w:szCs w:val="20"/>
                <w:lang w:eastAsia="pl-PL"/>
              </w:rPr>
              <w:t>, u któr</w:t>
            </w:r>
            <w:r w:rsidRPr="00361D71">
              <w:rPr>
                <w:rFonts w:cs="Times New Roman"/>
                <w:sz w:val="20"/>
                <w:szCs w:val="20"/>
                <w:lang w:eastAsia="pl-PL"/>
              </w:rPr>
              <w:t>ych</w:t>
            </w:r>
            <w:r w:rsidR="00A65774" w:rsidRPr="00361D71">
              <w:rPr>
                <w:rFonts w:cs="Times New Roman"/>
                <w:sz w:val="20"/>
                <w:szCs w:val="20"/>
                <w:lang w:eastAsia="pl-PL"/>
              </w:rPr>
              <w:t xml:space="preserve"> czasowo przerwano leczenie</w:t>
            </w:r>
            <w:r w:rsidRPr="00361D71">
              <w:rPr>
                <w:rFonts w:cs="Times New Roman"/>
                <w:sz w:val="20"/>
                <w:szCs w:val="20"/>
                <w:lang w:eastAsia="pl-PL"/>
              </w:rPr>
              <w:t>,</w:t>
            </w:r>
            <w:r w:rsidR="00A65774" w:rsidRPr="00361D71">
              <w:rPr>
                <w:rFonts w:cs="Times New Roman"/>
                <w:sz w:val="20"/>
                <w:szCs w:val="20"/>
                <w:lang w:eastAsia="pl-PL"/>
              </w:rPr>
              <w:t xml:space="preserve"> wymaga</w:t>
            </w:r>
            <w:r w:rsidRPr="00361D71">
              <w:rPr>
                <w:rFonts w:cs="Times New Roman"/>
                <w:sz w:val="20"/>
                <w:szCs w:val="20"/>
                <w:lang w:eastAsia="pl-PL"/>
              </w:rPr>
              <w:t>ją</w:t>
            </w:r>
            <w:r w:rsidR="00A65774" w:rsidRPr="00361D71">
              <w:rPr>
                <w:rFonts w:cs="Times New Roman"/>
                <w:sz w:val="20"/>
                <w:szCs w:val="20"/>
                <w:lang w:eastAsia="pl-PL"/>
              </w:rPr>
              <w:t xml:space="preserve"> systematycznej oceny nawrotu mikroangiopatii zakrzepowej</w:t>
            </w:r>
            <w:r w:rsidRPr="00361D71">
              <w:rPr>
                <w:rFonts w:cs="Times New Roman"/>
                <w:sz w:val="20"/>
                <w:szCs w:val="20"/>
                <w:lang w:eastAsia="pl-PL"/>
              </w:rPr>
              <w:t>;</w:t>
            </w:r>
          </w:p>
          <w:p w:rsidR="005E5B08" w:rsidRDefault="00F33533" w:rsidP="00361D71">
            <w:pPr>
              <w:pStyle w:val="Akapitzlist"/>
              <w:numPr>
                <w:ilvl w:val="0"/>
                <w:numId w:val="17"/>
              </w:numPr>
              <w:spacing w:after="60"/>
              <w:ind w:left="459"/>
              <w:contextualSpacing w:val="0"/>
              <w:jc w:val="both"/>
              <w:rPr>
                <w:rFonts w:cs="Times New Roman"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sz w:val="20"/>
                <w:szCs w:val="20"/>
                <w:lang w:eastAsia="pl-PL"/>
              </w:rPr>
              <w:t xml:space="preserve">Chorzy, u których </w:t>
            </w:r>
            <w:r w:rsidR="00A65774" w:rsidRPr="00361D71">
              <w:rPr>
                <w:rFonts w:cs="Times New Roman"/>
                <w:sz w:val="20"/>
                <w:szCs w:val="20"/>
                <w:lang w:eastAsia="pl-PL"/>
              </w:rPr>
              <w:t xml:space="preserve">wystąpi nawrót choroby </w:t>
            </w:r>
            <w:r w:rsidR="00620D2D" w:rsidRPr="00361D71">
              <w:rPr>
                <w:rFonts w:cs="Times New Roman"/>
                <w:sz w:val="20"/>
                <w:szCs w:val="20"/>
                <w:lang w:eastAsia="pl-PL"/>
              </w:rPr>
              <w:t>(</w:t>
            </w:r>
            <w:r w:rsidR="005E5B08" w:rsidRPr="00361D71">
              <w:rPr>
                <w:rFonts w:cs="Times New Roman"/>
                <w:sz w:val="20"/>
                <w:szCs w:val="20"/>
                <w:lang w:eastAsia="pl-PL"/>
              </w:rPr>
              <w:t>określony na podstawie</w:t>
            </w:r>
            <w:r w:rsidR="00104C6F" w:rsidRPr="00361D71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="005E5B08" w:rsidRPr="00361D71">
              <w:rPr>
                <w:rFonts w:cs="Times New Roman"/>
                <w:sz w:val="20"/>
                <w:szCs w:val="20"/>
                <w:lang w:eastAsia="pl-PL"/>
              </w:rPr>
              <w:t>kryteriów włączenia punkt 1.1</w:t>
            </w:r>
            <w:r w:rsidR="00620D2D" w:rsidRPr="00361D71">
              <w:rPr>
                <w:rFonts w:cs="Times New Roman"/>
                <w:sz w:val="20"/>
                <w:szCs w:val="20"/>
                <w:lang w:eastAsia="pl-PL"/>
              </w:rPr>
              <w:t>)</w:t>
            </w:r>
            <w:r w:rsidR="00CB4ED1" w:rsidRPr="00361D71">
              <w:rPr>
                <w:rFonts w:cs="Times New Roman"/>
                <w:sz w:val="20"/>
                <w:szCs w:val="20"/>
                <w:lang w:eastAsia="pl-PL"/>
              </w:rPr>
              <w:t xml:space="preserve">, będą ponownie włączani do podawania ekulizumabu </w:t>
            </w:r>
            <w:r w:rsidR="005E5B08" w:rsidRPr="00361D71">
              <w:rPr>
                <w:rFonts w:cs="Times New Roman"/>
                <w:sz w:val="20"/>
                <w:szCs w:val="20"/>
                <w:lang w:eastAsia="pl-PL"/>
              </w:rPr>
              <w:t xml:space="preserve">na podstawie zgłoszenia lekarza prowadzącego do </w:t>
            </w:r>
            <w:r w:rsidR="00104C6F" w:rsidRPr="00361D71">
              <w:rPr>
                <w:rFonts w:cs="Times New Roman"/>
                <w:sz w:val="20"/>
                <w:szCs w:val="20"/>
                <w:lang w:eastAsia="pl-PL"/>
              </w:rPr>
              <w:t>SMPT</w:t>
            </w:r>
            <w:r w:rsidR="005E5B08" w:rsidRPr="00361D71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="00104C6F" w:rsidRPr="00361D71">
              <w:rPr>
                <w:rFonts w:cs="Times New Roman"/>
                <w:sz w:val="20"/>
                <w:szCs w:val="20"/>
                <w:lang w:eastAsia="pl-PL"/>
              </w:rPr>
              <w:t xml:space="preserve">bez konieczności ponownej </w:t>
            </w:r>
            <w:r w:rsidRPr="00361D71">
              <w:rPr>
                <w:rFonts w:cs="Times New Roman"/>
                <w:sz w:val="20"/>
                <w:szCs w:val="20"/>
                <w:lang w:eastAsia="pl-PL"/>
              </w:rPr>
              <w:t>kwalifikacji</w:t>
            </w:r>
            <w:r w:rsidR="005E5B08" w:rsidRPr="00361D71">
              <w:rPr>
                <w:rFonts w:cs="Times New Roman"/>
                <w:sz w:val="20"/>
                <w:szCs w:val="20"/>
                <w:lang w:eastAsia="pl-PL"/>
              </w:rPr>
              <w:t xml:space="preserve"> przez Zespół Koordynujący</w:t>
            </w:r>
            <w:r w:rsidR="00620D2D" w:rsidRPr="00361D71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  <w:p w:rsidR="00361D71" w:rsidRPr="00361D71" w:rsidRDefault="00361D71" w:rsidP="00361D71">
            <w:pPr>
              <w:pStyle w:val="Akapitzlist"/>
              <w:spacing w:after="60"/>
              <w:ind w:left="459"/>
              <w:contextualSpacing w:val="0"/>
              <w:jc w:val="both"/>
              <w:rPr>
                <w:rFonts w:cs="Times New Roman"/>
                <w:sz w:val="20"/>
                <w:szCs w:val="20"/>
                <w:lang w:eastAsia="pl-PL"/>
              </w:rPr>
            </w:pPr>
          </w:p>
          <w:p w:rsidR="0005789F" w:rsidRPr="00361D71" w:rsidRDefault="00893878" w:rsidP="00361D7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ind w:left="312" w:hanging="312"/>
              <w:contextualSpacing w:val="0"/>
              <w:jc w:val="both"/>
              <w:rPr>
                <w:rFonts w:cs="Times New Roman"/>
                <w:b/>
                <w:bCs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b/>
                <w:bCs/>
                <w:sz w:val="20"/>
                <w:szCs w:val="20"/>
                <w:lang w:eastAsia="pl-PL"/>
              </w:rPr>
              <w:t>Kryteria wyłączenia</w:t>
            </w:r>
          </w:p>
          <w:p w:rsidR="007F3672" w:rsidRPr="00361D71" w:rsidRDefault="007F3672" w:rsidP="00361D71">
            <w:pPr>
              <w:pStyle w:val="Akapitzlist"/>
              <w:numPr>
                <w:ilvl w:val="0"/>
                <w:numId w:val="5"/>
              </w:numPr>
              <w:spacing w:after="60"/>
              <w:ind w:left="454" w:hanging="284"/>
              <w:contextualSpacing w:val="0"/>
              <w:jc w:val="both"/>
              <w:rPr>
                <w:rFonts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brak efektu</w:t>
            </w:r>
            <w:r w:rsidR="00CB4ED1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 xml:space="preserve"> leczenia ekulizumabem (</w:t>
            </w:r>
            <w:r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utrzymywani</w:t>
            </w:r>
            <w:r w:rsidR="00CB4ED1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 xml:space="preserve">e się aktywnej mikroangiopatii </w:t>
            </w:r>
            <w:r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zakrzepow</w:t>
            </w:r>
            <w:r w:rsidR="00CB4ED1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ej mimo 3 miesięcznego leczenia</w:t>
            </w:r>
            <w:r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)</w:t>
            </w:r>
            <w:r w:rsidR="00104C6F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;</w:t>
            </w:r>
          </w:p>
          <w:p w:rsidR="000E07F9" w:rsidRPr="00361D71" w:rsidRDefault="00354FDB" w:rsidP="00361D71">
            <w:pPr>
              <w:pStyle w:val="Akapitzlist"/>
              <w:numPr>
                <w:ilvl w:val="0"/>
                <w:numId w:val="5"/>
              </w:numPr>
              <w:spacing w:after="60"/>
              <w:ind w:left="454" w:hanging="284"/>
              <w:contextualSpacing w:val="0"/>
              <w:jc w:val="both"/>
              <w:rPr>
                <w:rFonts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 xml:space="preserve">wystąpienie </w:t>
            </w:r>
            <w:r w:rsidR="00177B7B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 xml:space="preserve">ciężkich </w:t>
            </w:r>
            <w:r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działań niepożądanych związanych z</w:t>
            </w:r>
            <w:r w:rsidR="003166E8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 </w:t>
            </w:r>
            <w:r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lekiem;</w:t>
            </w:r>
          </w:p>
          <w:p w:rsidR="00177B7B" w:rsidRPr="00361D71" w:rsidRDefault="00177B7B" w:rsidP="00361D71">
            <w:pPr>
              <w:pStyle w:val="Akapitzlist"/>
              <w:numPr>
                <w:ilvl w:val="0"/>
                <w:numId w:val="5"/>
              </w:numPr>
              <w:spacing w:after="60"/>
              <w:ind w:left="454" w:hanging="284"/>
              <w:contextualSpacing w:val="0"/>
              <w:jc w:val="both"/>
              <w:rPr>
                <w:rFonts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sz w:val="20"/>
                <w:szCs w:val="20"/>
              </w:rPr>
              <w:t>nadwrażliwość na ekulizumab, białka mysie lub substancje pomocnicze;</w:t>
            </w:r>
          </w:p>
          <w:p w:rsidR="00354FDB" w:rsidRPr="00361D71" w:rsidRDefault="00354FDB" w:rsidP="00361D71">
            <w:pPr>
              <w:pStyle w:val="Akapitzlist"/>
              <w:numPr>
                <w:ilvl w:val="0"/>
                <w:numId w:val="5"/>
              </w:numPr>
              <w:spacing w:after="60"/>
              <w:ind w:left="454" w:hanging="284"/>
              <w:contextualSpacing w:val="0"/>
              <w:jc w:val="both"/>
              <w:rPr>
                <w:rFonts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niestosowanie się pacjenta do zaleceń lekarskich;</w:t>
            </w:r>
          </w:p>
          <w:p w:rsidR="00663BF9" w:rsidRPr="00361D71" w:rsidRDefault="00354FDB" w:rsidP="00361D71">
            <w:pPr>
              <w:pStyle w:val="Akapitzlist"/>
              <w:numPr>
                <w:ilvl w:val="0"/>
                <w:numId w:val="5"/>
              </w:numPr>
              <w:spacing w:after="60"/>
              <w:ind w:left="454" w:hanging="284"/>
              <w:contextualSpacing w:val="0"/>
              <w:jc w:val="both"/>
              <w:rPr>
                <w:rFonts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wycofanie przez pacjenta zgody na leczenie</w:t>
            </w:r>
            <w:r w:rsidR="00104C6F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;</w:t>
            </w:r>
          </w:p>
          <w:p w:rsidR="008F0A58" w:rsidRPr="00361D71" w:rsidRDefault="00063F95" w:rsidP="00361D71">
            <w:pPr>
              <w:spacing w:after="60"/>
              <w:jc w:val="both"/>
              <w:rPr>
                <w:rFonts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W</w:t>
            </w:r>
            <w:r w:rsidR="00924C14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 xml:space="preserve"> razie zakończenia leczenia </w:t>
            </w:r>
            <w:r w:rsidR="007F3672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 xml:space="preserve">u </w:t>
            </w:r>
            <w:r w:rsidR="00924C14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 xml:space="preserve">pacjenta z powodu </w:t>
            </w:r>
            <w:r w:rsidR="007F3672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za</w:t>
            </w:r>
            <w:r w:rsidR="00104C6F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 xml:space="preserve">istnienia </w:t>
            </w:r>
            <w:r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 xml:space="preserve">ww. </w:t>
            </w:r>
            <w:r w:rsidR="00104C6F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kryteriów wyłaczenia</w:t>
            </w:r>
            <w:r w:rsidR="00924C14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, ponowne rozpoczęcie leczenia wymaga decyzji Zespołu Koordynującego</w:t>
            </w:r>
            <w:r w:rsidR="00104C6F" w:rsidRPr="00361D71">
              <w:rPr>
                <w:rFonts w:cs="Times New Roman"/>
                <w:noProof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27" w:type="pct"/>
          </w:tcPr>
          <w:p w:rsidR="00144AA9" w:rsidRPr="00361D71" w:rsidRDefault="00141398" w:rsidP="00361D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/>
              <w:ind w:left="318" w:hanging="283"/>
              <w:contextualSpacing w:val="0"/>
              <w:jc w:val="both"/>
              <w:outlineLvl w:val="2"/>
              <w:rPr>
                <w:rFonts w:eastAsia="Malgun Gothic" w:cs="Times New Roman"/>
                <w:bCs/>
                <w:sz w:val="20"/>
                <w:szCs w:val="20"/>
              </w:rPr>
            </w:pPr>
            <w:r w:rsidRPr="00361D71">
              <w:rPr>
                <w:rFonts w:eastAsia="Malgun Gothic" w:cs="Times New Roman"/>
                <w:b/>
                <w:sz w:val="20"/>
                <w:szCs w:val="20"/>
                <w:lang w:eastAsia="pl-PL"/>
              </w:rPr>
              <w:lastRenderedPageBreak/>
              <w:t>Dawkowanie</w:t>
            </w:r>
          </w:p>
          <w:p w:rsidR="00EE7FB1" w:rsidRPr="00361D71" w:rsidRDefault="00F77E4C" w:rsidP="00361D71">
            <w:pPr>
              <w:spacing w:after="60"/>
              <w:jc w:val="both"/>
              <w:rPr>
                <w:rFonts w:eastAsia="Malgun Gothic" w:cs="Times New Roman"/>
                <w:bCs/>
                <w:sz w:val="20"/>
                <w:szCs w:val="20"/>
              </w:rPr>
            </w:pPr>
            <w:r w:rsidRPr="00361D71">
              <w:rPr>
                <w:rFonts w:eastAsiaTheme="minorEastAsia" w:cs="Times New Roman"/>
                <w:noProof/>
                <w:sz w:val="20"/>
                <w:szCs w:val="20"/>
              </w:rPr>
              <w:t>Dawkowanie preparatu ekulizumab z</w:t>
            </w:r>
            <w:r w:rsidR="000C53B5" w:rsidRPr="00361D71">
              <w:rPr>
                <w:rFonts w:eastAsiaTheme="minorEastAsia" w:cs="Times New Roman"/>
                <w:noProof/>
                <w:sz w:val="20"/>
                <w:szCs w:val="20"/>
              </w:rPr>
              <w:t>godnie z </w:t>
            </w:r>
            <w:r w:rsidR="00204A2A" w:rsidRPr="00361D71">
              <w:rPr>
                <w:rFonts w:eastAsiaTheme="minorEastAsia" w:cs="Times New Roman"/>
                <w:noProof/>
                <w:sz w:val="20"/>
                <w:szCs w:val="20"/>
              </w:rPr>
              <w:t xml:space="preserve">aktualną </w:t>
            </w:r>
            <w:r w:rsidR="00204A2A" w:rsidRPr="00361D71">
              <w:rPr>
                <w:rFonts w:eastAsia="Malgun Gothic" w:cs="Times New Roman"/>
                <w:bCs/>
                <w:sz w:val="20"/>
                <w:szCs w:val="20"/>
              </w:rPr>
              <w:t>Charakterystyką Produktu Leczniczego</w:t>
            </w:r>
            <w:r w:rsidR="0082647C" w:rsidRPr="00361D71">
              <w:rPr>
                <w:rFonts w:eastAsia="Malgun Gothic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45" w:type="pct"/>
          </w:tcPr>
          <w:p w:rsidR="007A1100" w:rsidRPr="00361D71" w:rsidRDefault="00953B68" w:rsidP="00361D71">
            <w:pPr>
              <w:pStyle w:val="Akapitzlist"/>
              <w:numPr>
                <w:ilvl w:val="0"/>
                <w:numId w:val="6"/>
              </w:numPr>
              <w:spacing w:after="60"/>
              <w:ind w:left="302" w:hanging="283"/>
              <w:contextualSpacing w:val="0"/>
              <w:jc w:val="both"/>
              <w:rPr>
                <w:rFonts w:eastAsia="Malgun Gothic" w:cs="Times New Roman"/>
                <w:b/>
                <w:noProof/>
                <w:sz w:val="20"/>
                <w:szCs w:val="20"/>
              </w:rPr>
            </w:pPr>
            <w:r w:rsidRPr="00361D71">
              <w:rPr>
                <w:rFonts w:eastAsia="Malgun Gothic" w:cs="Times New Roman"/>
                <w:b/>
                <w:noProof/>
                <w:sz w:val="20"/>
                <w:szCs w:val="20"/>
              </w:rPr>
              <w:t>Badania przy kwalifikacji</w:t>
            </w:r>
            <w:r w:rsidR="00720802" w:rsidRPr="00361D71">
              <w:rPr>
                <w:rFonts w:eastAsia="Malgun Gothic" w:cs="Times New Roman"/>
                <w:b/>
                <w:noProof/>
                <w:sz w:val="20"/>
                <w:szCs w:val="20"/>
              </w:rPr>
              <w:t>:</w:t>
            </w:r>
          </w:p>
          <w:p w:rsidR="007A1100" w:rsidRPr="00361D71" w:rsidRDefault="006F24D2" w:rsidP="00361D71">
            <w:pPr>
              <w:numPr>
                <w:ilvl w:val="0"/>
                <w:numId w:val="7"/>
              </w:numPr>
              <w:spacing w:after="6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a</w:t>
            </w:r>
            <w:r w:rsidR="00F50204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ktywność ADAMTS13</w:t>
            </w:r>
            <w:r w:rsidR="007325D8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;</w:t>
            </w:r>
            <w:r w:rsidR="00C04EE6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7325D8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u dzieci z obniżonym eGFR można wdrozyć leczenie w oczekiwaniu na wynik badania</w:t>
            </w:r>
            <w:r w:rsidR="00104C6F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;</w:t>
            </w:r>
          </w:p>
          <w:p w:rsidR="007A1100" w:rsidRPr="00361D71" w:rsidRDefault="006F24D2" w:rsidP="00361D71">
            <w:pPr>
              <w:numPr>
                <w:ilvl w:val="0"/>
                <w:numId w:val="7"/>
              </w:numPr>
              <w:spacing w:after="6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b</w:t>
            </w:r>
            <w:r w:rsidR="00AF49C5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adanie </w:t>
            </w:r>
            <w:r w:rsidR="007A1100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STEC </w:t>
            </w:r>
            <w:r w:rsidR="00AF49C5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(PCR lub hodowla bakteryjna</w:t>
            </w:r>
            <w:r w:rsidR="007A1100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)</w:t>
            </w:r>
            <w:r w:rsidR="007325D8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 w pierwszym rzucie choroby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;</w:t>
            </w:r>
          </w:p>
          <w:p w:rsidR="00C168E5" w:rsidRPr="00361D71" w:rsidRDefault="00A21C87" w:rsidP="00361D71">
            <w:pPr>
              <w:numPr>
                <w:ilvl w:val="0"/>
                <w:numId w:val="7"/>
              </w:numPr>
              <w:spacing w:after="6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wykonanie badani potwierdzającego lub wykluczającego </w:t>
            </w:r>
            <w:r w:rsidR="00C168E5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ciąż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ę (</w:t>
            </w:r>
            <w:r w:rsidR="00C168E5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u kobiet w wieku rozrodczym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)</w:t>
            </w:r>
            <w:r w:rsidR="00C168E5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;</w:t>
            </w:r>
          </w:p>
          <w:p w:rsidR="00132003" w:rsidRPr="00361D71" w:rsidRDefault="00132003" w:rsidP="00361D71">
            <w:pPr>
              <w:numPr>
                <w:ilvl w:val="0"/>
                <w:numId w:val="7"/>
              </w:numPr>
              <w:spacing w:after="6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sz w:val="20"/>
                <w:szCs w:val="20"/>
              </w:rPr>
              <w:t>dehydrogenaza mleczanowa całkowita (LDH);</w:t>
            </w:r>
          </w:p>
          <w:p w:rsidR="007A1100" w:rsidRPr="00361D71" w:rsidRDefault="0050762D" w:rsidP="00361D71">
            <w:pPr>
              <w:numPr>
                <w:ilvl w:val="0"/>
                <w:numId w:val="7"/>
              </w:numPr>
              <w:spacing w:after="6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stężenie h</w:t>
            </w:r>
            <w:r w:rsidR="00132003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aptoglobin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y</w:t>
            </w:r>
            <w:r w:rsidR="00132003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 (Hp)</w:t>
            </w:r>
            <w:r w:rsidR="00132003" w:rsidRPr="00361D71" w:rsidDel="00720802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216EE9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lub</w:t>
            </w:r>
            <w:r w:rsidR="00CB6289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 schistocyty</w:t>
            </w:r>
            <w:r w:rsidR="00574148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;</w:t>
            </w:r>
          </w:p>
          <w:p w:rsidR="007A1100" w:rsidRPr="00361D71" w:rsidRDefault="00720802" w:rsidP="00361D71">
            <w:pPr>
              <w:numPr>
                <w:ilvl w:val="0"/>
                <w:numId w:val="7"/>
              </w:numPr>
              <w:spacing w:after="6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m</w:t>
            </w:r>
            <w:r w:rsidR="008D5A67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orfologia 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krwi </w:t>
            </w:r>
            <w:r w:rsidR="008D5A67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z rozmazem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;</w:t>
            </w:r>
          </w:p>
          <w:p w:rsidR="00E318C0" w:rsidRPr="00361D71" w:rsidRDefault="00E318C0" w:rsidP="00361D71">
            <w:pPr>
              <w:numPr>
                <w:ilvl w:val="0"/>
                <w:numId w:val="7"/>
              </w:numPr>
              <w:spacing w:after="6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badanie ogólne moczu;</w:t>
            </w:r>
          </w:p>
          <w:p w:rsidR="00E318C0" w:rsidRPr="00361D71" w:rsidRDefault="00E318C0" w:rsidP="00361D71">
            <w:pPr>
              <w:numPr>
                <w:ilvl w:val="0"/>
                <w:numId w:val="7"/>
              </w:numPr>
              <w:spacing w:after="6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stężenie kreatyniny</w:t>
            </w:r>
            <w:r w:rsidR="00650008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 i wyliczony eGFR</w:t>
            </w:r>
            <w:r w:rsidR="00104C6F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;</w:t>
            </w:r>
          </w:p>
          <w:p w:rsidR="00104C6F" w:rsidRPr="00361D71" w:rsidRDefault="00720802" w:rsidP="00361D71">
            <w:pPr>
              <w:numPr>
                <w:ilvl w:val="0"/>
                <w:numId w:val="7"/>
              </w:numPr>
              <w:spacing w:after="6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aminotransferaza asparaginowa (</w:t>
            </w:r>
            <w:r w:rsidR="00A92572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AspAT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)</w:t>
            </w:r>
            <w:r w:rsidR="00650008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i alaninowa (AlAT)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;</w:t>
            </w:r>
          </w:p>
          <w:p w:rsidR="00104C6F" w:rsidRPr="00361D71" w:rsidRDefault="00FC3640" w:rsidP="00361D71">
            <w:pPr>
              <w:numPr>
                <w:ilvl w:val="0"/>
                <w:numId w:val="7"/>
              </w:numPr>
              <w:spacing w:after="6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badania układu dopełniacza C3, CH50</w:t>
            </w:r>
            <w:r w:rsidR="00CF0B3F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; leczenie można wdrożyć w oczekiwaniu na wynik</w:t>
            </w:r>
            <w:r w:rsidR="00104C6F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;</w:t>
            </w:r>
          </w:p>
          <w:p w:rsidR="00104C6F" w:rsidRPr="00361D71" w:rsidRDefault="00CF0B3F" w:rsidP="00361D71">
            <w:pPr>
              <w:numPr>
                <w:ilvl w:val="0"/>
                <w:numId w:val="7"/>
              </w:numPr>
              <w:spacing w:after="6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badania genetyczne w kierunku przyczyn genetycznych a</w:t>
            </w:r>
            <w:r w:rsidR="00056459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HUS</w:t>
            </w:r>
            <w:r w:rsidR="00104C6F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; 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leczenie mozna wdrożyć w oczekiwaniu na wynik</w:t>
            </w:r>
            <w:r w:rsidR="00104C6F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;</w:t>
            </w:r>
          </w:p>
          <w:p w:rsidR="00104C6F" w:rsidRPr="00361D71" w:rsidRDefault="00CF0B3F" w:rsidP="00361D71">
            <w:pPr>
              <w:numPr>
                <w:ilvl w:val="0"/>
                <w:numId w:val="7"/>
              </w:numPr>
              <w:spacing w:after="6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przeciwciała anty H; leczenie można wdrożyć w oczekiwaniu </w:t>
            </w:r>
            <w:r w:rsidR="00104C6F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na wynik;</w:t>
            </w:r>
          </w:p>
          <w:p w:rsidR="00104C6F" w:rsidRPr="00361D71" w:rsidRDefault="00104C6F" w:rsidP="00361D71">
            <w:pPr>
              <w:numPr>
                <w:ilvl w:val="0"/>
                <w:numId w:val="7"/>
              </w:numPr>
              <w:spacing w:after="6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t</w:t>
            </w:r>
            <w:r w:rsidR="007325D8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est Coombsa;</w:t>
            </w:r>
            <w:r w:rsidR="00CE0612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 leczenie</w:t>
            </w:r>
            <w:r w:rsidR="007325D8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 można wdrożyć leczenie w oczekiwaniu</w:t>
            </w:r>
            <w:r w:rsidR="00CE0612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7325D8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na wynik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;</w:t>
            </w:r>
          </w:p>
          <w:p w:rsidR="00270696" w:rsidRPr="00361D71" w:rsidRDefault="00270696" w:rsidP="00361D71">
            <w:pPr>
              <w:numPr>
                <w:ilvl w:val="0"/>
                <w:numId w:val="7"/>
              </w:numPr>
              <w:spacing w:after="6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w przypadk</w:t>
            </w:r>
            <w:r w:rsidR="00E00A76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u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 występowania</w:t>
            </w:r>
            <w:r w:rsidR="00C63FED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 u pacjentów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:</w:t>
            </w:r>
          </w:p>
          <w:p w:rsidR="00270696" w:rsidRPr="00361D71" w:rsidRDefault="00270696" w:rsidP="00361D71">
            <w:pPr>
              <w:pStyle w:val="Akapitzlist"/>
              <w:numPr>
                <w:ilvl w:val="0"/>
                <w:numId w:val="10"/>
              </w:numPr>
              <w:spacing w:after="60"/>
              <w:contextualSpacing w:val="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objawów neurologicznych</w:t>
            </w:r>
          </w:p>
          <w:p w:rsidR="00270696" w:rsidRPr="00361D71" w:rsidRDefault="00270696" w:rsidP="00361D71">
            <w:pPr>
              <w:pStyle w:val="Akapitzlist"/>
              <w:spacing w:after="60"/>
              <w:ind w:left="1080"/>
              <w:contextualSpacing w:val="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- rezonans magnetyczny z angiografią</w:t>
            </w:r>
          </w:p>
          <w:p w:rsidR="00270696" w:rsidRPr="00361D71" w:rsidRDefault="00270696" w:rsidP="00361D71">
            <w:pPr>
              <w:spacing w:after="60"/>
              <w:ind w:left="1029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-</w:t>
            </w:r>
            <w:r w:rsidR="00CE0612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 lub 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tomografia komputerowa ośrodkowego układu nerwowego</w:t>
            </w:r>
            <w:r w:rsidR="00C63FED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;</w:t>
            </w:r>
          </w:p>
          <w:p w:rsidR="00270696" w:rsidRPr="00361D71" w:rsidRDefault="00E9629A" w:rsidP="00361D71">
            <w:pPr>
              <w:pStyle w:val="Akapitzlist"/>
              <w:numPr>
                <w:ilvl w:val="0"/>
                <w:numId w:val="11"/>
              </w:numPr>
              <w:spacing w:after="60"/>
              <w:contextualSpacing w:val="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objawów ze strony układu pokarmowego</w:t>
            </w:r>
            <w:r w:rsidR="00806AC4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:</w:t>
            </w:r>
          </w:p>
          <w:p w:rsidR="00E9629A" w:rsidRPr="00361D71" w:rsidRDefault="00E9629A" w:rsidP="00361D71">
            <w:pPr>
              <w:spacing w:after="60"/>
              <w:ind w:left="1029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lastRenderedPageBreak/>
              <w:t>- amylaza, lipaza</w:t>
            </w:r>
            <w:r w:rsidR="00CE0612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 oraz</w:t>
            </w:r>
            <w:r w:rsidR="00361D71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usg jamy brzusznej</w:t>
            </w:r>
            <w:r w:rsidR="00C63FED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;</w:t>
            </w:r>
          </w:p>
          <w:p w:rsidR="00E9629A" w:rsidRPr="00361D71" w:rsidRDefault="00EB0AA1" w:rsidP="00361D71">
            <w:pPr>
              <w:pStyle w:val="Akapitzlist"/>
              <w:numPr>
                <w:ilvl w:val="0"/>
                <w:numId w:val="12"/>
              </w:numPr>
              <w:spacing w:after="60"/>
              <w:contextualSpacing w:val="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objawów ze strony układu sercowo-naczyniowego</w:t>
            </w:r>
            <w:r w:rsidR="00C63FED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:</w:t>
            </w:r>
          </w:p>
          <w:p w:rsidR="00EB0AA1" w:rsidRPr="00361D71" w:rsidRDefault="00EB0AA1" w:rsidP="00361D71">
            <w:pPr>
              <w:pStyle w:val="Akapitzlist"/>
              <w:spacing w:after="60"/>
              <w:ind w:left="1080"/>
              <w:contextualSpacing w:val="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- troponina T lub troponina I,</w:t>
            </w:r>
            <w:r w:rsidR="00CE0612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 lub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 EKG</w:t>
            </w:r>
            <w:r w:rsidR="00CE0612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, 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lub</w:t>
            </w:r>
            <w:r w:rsidR="00CE0612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 ECHO serca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:rsidR="00C168E5" w:rsidRDefault="00EB0AA1" w:rsidP="00361D71">
            <w:pPr>
              <w:spacing w:after="60"/>
              <w:ind w:left="108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 xml:space="preserve">- lub </w:t>
            </w:r>
            <w:r w:rsidR="00CE0612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c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ewnikowanie serca</w:t>
            </w:r>
            <w:r w:rsidR="00C168E5" w:rsidRPr="00361D71"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  <w:t>;</w:t>
            </w:r>
          </w:p>
          <w:p w:rsidR="00361D71" w:rsidRPr="00361D71" w:rsidRDefault="00361D71" w:rsidP="00361D71">
            <w:pPr>
              <w:spacing w:after="60"/>
              <w:ind w:left="1080"/>
              <w:jc w:val="both"/>
              <w:rPr>
                <w:rFonts w:eastAsia="Malgun Gothic" w:cs="Times New Roman"/>
                <w:noProof/>
                <w:sz w:val="20"/>
                <w:szCs w:val="20"/>
                <w:lang w:eastAsia="pl-PL"/>
              </w:rPr>
            </w:pPr>
          </w:p>
          <w:p w:rsidR="007A1100" w:rsidRPr="00361D71" w:rsidRDefault="00486DC5" w:rsidP="00361D71">
            <w:pPr>
              <w:pStyle w:val="Akapitzlist"/>
              <w:numPr>
                <w:ilvl w:val="0"/>
                <w:numId w:val="6"/>
              </w:numPr>
              <w:spacing w:after="60"/>
              <w:ind w:left="444" w:hanging="284"/>
              <w:contextualSpacing w:val="0"/>
              <w:jc w:val="both"/>
              <w:rPr>
                <w:rFonts w:eastAsia="Malgun Gothic" w:cs="Times New Roman"/>
                <w:b/>
                <w:noProof/>
                <w:sz w:val="20"/>
                <w:szCs w:val="20"/>
              </w:rPr>
            </w:pPr>
            <w:r w:rsidRPr="00361D71">
              <w:rPr>
                <w:rFonts w:eastAsia="Malgun Gothic" w:cs="Times New Roman"/>
                <w:b/>
                <w:noProof/>
                <w:sz w:val="20"/>
                <w:szCs w:val="20"/>
              </w:rPr>
              <w:t xml:space="preserve">Monitorowanie </w:t>
            </w:r>
            <w:r w:rsidR="0018114E" w:rsidRPr="00361D71">
              <w:rPr>
                <w:rFonts w:eastAsia="Malgun Gothic" w:cs="Times New Roman"/>
                <w:b/>
                <w:noProof/>
                <w:sz w:val="20"/>
                <w:szCs w:val="20"/>
              </w:rPr>
              <w:t>leczenia</w:t>
            </w:r>
          </w:p>
          <w:p w:rsidR="007A1100" w:rsidRPr="00361D71" w:rsidRDefault="00F54649" w:rsidP="00361D71">
            <w:pPr>
              <w:numPr>
                <w:ilvl w:val="0"/>
                <w:numId w:val="9"/>
              </w:numPr>
              <w:spacing w:after="60"/>
              <w:ind w:left="604"/>
              <w:jc w:val="both"/>
              <w:rPr>
                <w:rFonts w:eastAsia="Malgun Gothic" w:cs="Times New Roman"/>
                <w:noProof/>
                <w:sz w:val="20"/>
                <w:szCs w:val="20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t>W czasie leczenia poc</w:t>
            </w:r>
            <w:r w:rsidR="000C53B5" w:rsidRPr="00361D71">
              <w:rPr>
                <w:rFonts w:eastAsia="Malgun Gothic" w:cs="Times New Roman"/>
                <w:noProof/>
                <w:sz w:val="20"/>
                <w:szCs w:val="20"/>
              </w:rPr>
              <w:t>zątkowego (tj. przez pierwsze 4 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tygodnie) </w:t>
            </w:r>
            <w:r w:rsidR="00FC03CC" w:rsidRPr="00361D71">
              <w:rPr>
                <w:rFonts w:eastAsia="Malgun Gothic" w:cs="Times New Roman"/>
                <w:noProof/>
                <w:sz w:val="20"/>
                <w:szCs w:val="20"/>
              </w:rPr>
              <w:t>monitorowanie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 </w:t>
            </w:r>
            <w:r w:rsidR="00942FC6" w:rsidRPr="00361D71">
              <w:rPr>
                <w:rFonts w:eastAsia="Malgun Gothic" w:cs="Times New Roman"/>
                <w:noProof/>
                <w:sz w:val="20"/>
                <w:szCs w:val="20"/>
              </w:rPr>
              <w:t>leczenia obejmuje w</w:t>
            </w:r>
            <w:r w:rsidR="007D3478" w:rsidRPr="00361D71">
              <w:rPr>
                <w:rFonts w:eastAsia="Malgun Gothic" w:cs="Times New Roman"/>
                <w:noProof/>
                <w:sz w:val="20"/>
                <w:szCs w:val="20"/>
              </w:rPr>
              <w:t>y</w:t>
            </w:r>
            <w:r w:rsidR="00942FC6"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konywanie badań wyszczególnionych jako </w:t>
            </w:r>
            <w:r w:rsidR="00806AC4"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pozycje </w:t>
            </w:r>
            <w:r w:rsidR="00854EFF" w:rsidRPr="00361D71">
              <w:rPr>
                <w:rFonts w:eastAsia="Malgun Gothic" w:cs="Times New Roman"/>
                <w:noProof/>
                <w:sz w:val="20"/>
                <w:szCs w:val="20"/>
              </w:rPr>
              <w:t>4</w:t>
            </w:r>
            <w:r w:rsidR="00E318C0" w:rsidRPr="00361D71">
              <w:rPr>
                <w:rFonts w:eastAsia="Malgun Gothic" w:cs="Times New Roman"/>
                <w:noProof/>
                <w:sz w:val="20"/>
                <w:szCs w:val="20"/>
              </w:rPr>
              <w:t>-8</w:t>
            </w:r>
            <w:r w:rsidR="00942FC6"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 </w:t>
            </w:r>
            <w:r w:rsidR="00CB4ED1"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w </w:t>
            </w:r>
            <w:r w:rsidR="00806AC4"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pkt. 1 </w:t>
            </w:r>
            <w:r w:rsidR="00CF0B3F" w:rsidRPr="00361D71">
              <w:rPr>
                <w:rFonts w:eastAsia="Malgun Gothic" w:cs="Times New Roman"/>
                <w:noProof/>
                <w:sz w:val="20"/>
                <w:szCs w:val="20"/>
              </w:rPr>
              <w:t>oraz CH50</w:t>
            </w:r>
            <w:r w:rsidR="00806AC4" w:rsidRPr="00361D71">
              <w:rPr>
                <w:rFonts w:eastAsia="Malgun Gothic" w:cs="Times New Roman"/>
                <w:noProof/>
                <w:sz w:val="20"/>
                <w:szCs w:val="20"/>
              </w:rPr>
              <w:t>, przed każdą infuzją (</w:t>
            </w:r>
            <w:r w:rsidR="007D3478" w:rsidRPr="00361D71">
              <w:rPr>
                <w:rFonts w:eastAsia="Malgun Gothic" w:cs="Times New Roman"/>
                <w:noProof/>
                <w:sz w:val="20"/>
                <w:szCs w:val="20"/>
              </w:rPr>
              <w:t>u osób &gt; 40kg raz w tygodniu, u dzieci zgodnie z</w:t>
            </w:r>
            <w:r w:rsidR="00806AC4" w:rsidRPr="00361D71">
              <w:rPr>
                <w:rFonts w:eastAsia="Malgun Gothic" w:cs="Times New Roman"/>
                <w:noProof/>
                <w:sz w:val="20"/>
                <w:szCs w:val="20"/>
              </w:rPr>
              <w:t> </w:t>
            </w:r>
            <w:r w:rsidR="007D3478" w:rsidRPr="00361D71">
              <w:rPr>
                <w:rFonts w:eastAsia="Malgun Gothic" w:cs="Times New Roman"/>
                <w:noProof/>
                <w:sz w:val="20"/>
                <w:szCs w:val="20"/>
              </w:rPr>
              <w:t>dawkowaniem preparatu w ChPL)</w:t>
            </w:r>
            <w:r w:rsidR="00CC599B" w:rsidRPr="00361D71">
              <w:rPr>
                <w:rFonts w:eastAsia="Malgun Gothic" w:cs="Times New Roman"/>
                <w:noProof/>
                <w:sz w:val="20"/>
                <w:szCs w:val="20"/>
              </w:rPr>
              <w:t>;</w:t>
            </w:r>
          </w:p>
          <w:p w:rsidR="007A1100" w:rsidRPr="00361D71" w:rsidRDefault="007021EA" w:rsidP="00361D71">
            <w:pPr>
              <w:numPr>
                <w:ilvl w:val="0"/>
                <w:numId w:val="9"/>
              </w:numPr>
              <w:spacing w:after="60"/>
              <w:ind w:left="604"/>
              <w:jc w:val="both"/>
              <w:rPr>
                <w:rFonts w:eastAsia="Malgun Gothic" w:cs="Times New Roman"/>
                <w:noProof/>
                <w:sz w:val="20"/>
                <w:szCs w:val="20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t>Począwszy od 5 tygodnia monitorowanie</w:t>
            </w:r>
            <w:r w:rsidR="0079655D"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 leczenia </w:t>
            </w:r>
            <w:r w:rsidR="00CB2B20"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obejmuje wykonywanie badań wyszczególnionych jako </w:t>
            </w:r>
            <w:r w:rsidR="00CB4ED1"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pozycje </w:t>
            </w:r>
            <w:r w:rsidR="00CB2B20"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4-8 </w:t>
            </w:r>
            <w:r w:rsidR="0079655D" w:rsidRPr="00361D71">
              <w:rPr>
                <w:rFonts w:eastAsia="Malgun Gothic" w:cs="Times New Roman"/>
                <w:noProof/>
                <w:sz w:val="20"/>
                <w:szCs w:val="20"/>
              </w:rPr>
              <w:t>w</w:t>
            </w:r>
            <w:r w:rsidR="00CB4ED1" w:rsidRPr="00361D71">
              <w:rPr>
                <w:rFonts w:eastAsia="Malgun Gothic" w:cs="Times New Roman"/>
                <w:noProof/>
                <w:sz w:val="20"/>
                <w:szCs w:val="20"/>
              </w:rPr>
              <w:t> </w:t>
            </w:r>
            <w:r w:rsidR="0079655D" w:rsidRPr="00361D71">
              <w:rPr>
                <w:rFonts w:eastAsia="Malgun Gothic" w:cs="Times New Roman"/>
                <w:noProof/>
                <w:sz w:val="20"/>
                <w:szCs w:val="20"/>
              </w:rPr>
              <w:t>pkt</w:t>
            </w:r>
            <w:r w:rsidR="00CB4ED1" w:rsidRPr="00361D71">
              <w:rPr>
                <w:rFonts w:eastAsia="Malgun Gothic" w:cs="Times New Roman"/>
                <w:noProof/>
                <w:sz w:val="20"/>
                <w:szCs w:val="20"/>
              </w:rPr>
              <w:t>. </w:t>
            </w:r>
            <w:r w:rsidR="0079655D" w:rsidRPr="00361D71">
              <w:rPr>
                <w:rFonts w:eastAsia="Malgun Gothic" w:cs="Times New Roman"/>
                <w:noProof/>
                <w:sz w:val="20"/>
                <w:szCs w:val="20"/>
              </w:rPr>
              <w:t>1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 </w:t>
            </w:r>
            <w:r w:rsidR="007D3478" w:rsidRPr="00361D71">
              <w:rPr>
                <w:rFonts w:eastAsia="Malgun Gothic" w:cs="Times New Roman"/>
                <w:noProof/>
                <w:sz w:val="20"/>
                <w:szCs w:val="20"/>
              </w:rPr>
              <w:t>przed każd</w:t>
            </w:r>
            <w:r w:rsidR="00F35249" w:rsidRPr="00361D71">
              <w:rPr>
                <w:rFonts w:eastAsia="Malgun Gothic" w:cs="Times New Roman"/>
                <w:noProof/>
                <w:sz w:val="20"/>
                <w:szCs w:val="20"/>
              </w:rPr>
              <w:t>ą</w:t>
            </w:r>
            <w:r w:rsidR="00104C6F"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 infuzją (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co 2 </w:t>
            </w:r>
            <w:r w:rsidR="00C948B1" w:rsidRPr="00361D71">
              <w:rPr>
                <w:rFonts w:eastAsia="Malgun Gothic" w:cs="Times New Roman"/>
                <w:noProof/>
                <w:sz w:val="20"/>
                <w:szCs w:val="20"/>
              </w:rPr>
              <w:t>tygodnie</w:t>
            </w:r>
            <w:r w:rsidR="00806AC4"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, a u dzieci </w:t>
            </w:r>
            <w:r w:rsidR="0042380B" w:rsidRPr="00361D71">
              <w:rPr>
                <w:rFonts w:eastAsia="Malgun Gothic" w:cs="Times New Roman"/>
                <w:noProof/>
                <w:sz w:val="20"/>
                <w:szCs w:val="20"/>
              </w:rPr>
              <w:t>&lt;10kg co 3</w:t>
            </w:r>
            <w:r w:rsidR="00CB4ED1" w:rsidRPr="00361D71">
              <w:rPr>
                <w:rFonts w:eastAsia="Malgun Gothic" w:cs="Times New Roman"/>
                <w:noProof/>
                <w:sz w:val="20"/>
                <w:szCs w:val="20"/>
              </w:rPr>
              <w:t> </w:t>
            </w:r>
            <w:r w:rsidR="0042380B" w:rsidRPr="00361D71">
              <w:rPr>
                <w:rFonts w:eastAsia="Malgun Gothic" w:cs="Times New Roman"/>
                <w:noProof/>
                <w:sz w:val="20"/>
                <w:szCs w:val="20"/>
              </w:rPr>
              <w:t>tygodnie</w:t>
            </w:r>
            <w:r w:rsidR="005952EB" w:rsidRPr="00361D71">
              <w:rPr>
                <w:rFonts w:eastAsia="Malgun Gothic" w:cs="Times New Roman"/>
                <w:noProof/>
                <w:sz w:val="20"/>
                <w:szCs w:val="20"/>
              </w:rPr>
              <w:t>) oraz badanie CH50 (co miesiąc</w:t>
            </w:r>
            <w:r w:rsidR="0042380B" w:rsidRPr="00361D71">
              <w:rPr>
                <w:rFonts w:eastAsia="Malgun Gothic" w:cs="Times New Roman"/>
                <w:noProof/>
                <w:sz w:val="20"/>
                <w:szCs w:val="20"/>
              </w:rPr>
              <w:t>, a u dzieci &lt; 10kg, co 6 tygodni</w:t>
            </w:r>
            <w:r w:rsidR="005952EB" w:rsidRPr="00361D71">
              <w:rPr>
                <w:rFonts w:eastAsia="Malgun Gothic" w:cs="Times New Roman"/>
                <w:noProof/>
                <w:sz w:val="20"/>
                <w:szCs w:val="20"/>
              </w:rPr>
              <w:t>)</w:t>
            </w:r>
            <w:r w:rsidR="00CC599B" w:rsidRPr="00361D71">
              <w:rPr>
                <w:rFonts w:eastAsia="Malgun Gothic" w:cs="Times New Roman"/>
                <w:noProof/>
                <w:sz w:val="20"/>
                <w:szCs w:val="20"/>
              </w:rPr>
              <w:t>;</w:t>
            </w:r>
          </w:p>
          <w:p w:rsidR="007A1100" w:rsidRPr="00361D71" w:rsidRDefault="00A122B2" w:rsidP="00361D71">
            <w:pPr>
              <w:numPr>
                <w:ilvl w:val="0"/>
                <w:numId w:val="9"/>
              </w:numPr>
              <w:spacing w:after="60"/>
              <w:ind w:left="604"/>
              <w:jc w:val="both"/>
              <w:rPr>
                <w:rFonts w:eastAsia="Malgun Gothic" w:cs="Times New Roman"/>
                <w:noProof/>
                <w:sz w:val="20"/>
                <w:szCs w:val="20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t>Po upływie 3 miesięcy</w:t>
            </w:r>
            <w:r w:rsidR="00AB789D"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 monitorowanie </w:t>
            </w:r>
            <w:r w:rsidR="0079655D"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leczenia opisane w pkt 1 </w:t>
            </w:r>
            <w:r w:rsidR="00AB789D"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odbywa się raz 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t>w</w:t>
            </w:r>
            <w:r w:rsidR="00AB789D"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 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t>miesiącu</w:t>
            </w:r>
            <w:r w:rsidR="00310614" w:rsidRPr="00361D71">
              <w:rPr>
                <w:rFonts w:eastAsia="Malgun Gothic" w:cs="Times New Roman"/>
                <w:noProof/>
                <w:sz w:val="20"/>
                <w:szCs w:val="20"/>
              </w:rPr>
              <w:t>, a u dzieci &lt; 10kg raz na 6 tygodni</w:t>
            </w:r>
            <w:r w:rsidR="00CC599B" w:rsidRPr="00361D71">
              <w:rPr>
                <w:rFonts w:eastAsia="Malgun Gothic" w:cs="Times New Roman"/>
                <w:noProof/>
                <w:sz w:val="20"/>
                <w:szCs w:val="20"/>
              </w:rPr>
              <w:t>;</w:t>
            </w:r>
          </w:p>
          <w:p w:rsidR="007A1100" w:rsidRPr="00361D71" w:rsidRDefault="00824F8A" w:rsidP="00361D71">
            <w:pPr>
              <w:numPr>
                <w:ilvl w:val="0"/>
                <w:numId w:val="9"/>
              </w:numPr>
              <w:spacing w:after="60"/>
              <w:ind w:left="604"/>
              <w:jc w:val="both"/>
              <w:rPr>
                <w:rFonts w:eastAsia="Malgun Gothic" w:cs="Times New Roman"/>
                <w:noProof/>
                <w:sz w:val="20"/>
                <w:szCs w:val="20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t>Po upływie 1 roku leczenia monitorowanie</w:t>
            </w:r>
            <w:r w:rsidR="0079655D"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 leczenia opisane w</w:t>
            </w:r>
            <w:r w:rsidR="00CB4ED1" w:rsidRPr="00361D71">
              <w:rPr>
                <w:rFonts w:eastAsia="Malgun Gothic" w:cs="Times New Roman"/>
                <w:noProof/>
                <w:sz w:val="20"/>
                <w:szCs w:val="20"/>
              </w:rPr>
              <w:t> </w:t>
            </w:r>
            <w:r w:rsidR="0079655D" w:rsidRPr="00361D71">
              <w:rPr>
                <w:rFonts w:eastAsia="Malgun Gothic" w:cs="Times New Roman"/>
                <w:noProof/>
                <w:sz w:val="20"/>
                <w:szCs w:val="20"/>
              </w:rPr>
              <w:t>pkt 1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 odbywa się raz na 3 miesiące</w:t>
            </w:r>
            <w:r w:rsidR="00CC599B" w:rsidRPr="00361D71">
              <w:rPr>
                <w:rFonts w:eastAsia="Malgun Gothic" w:cs="Times New Roman"/>
                <w:noProof/>
                <w:sz w:val="20"/>
                <w:szCs w:val="20"/>
              </w:rPr>
              <w:t>;</w:t>
            </w:r>
          </w:p>
          <w:p w:rsidR="00CB2B20" w:rsidRDefault="00CB2B20" w:rsidP="00361D71">
            <w:pPr>
              <w:numPr>
                <w:ilvl w:val="0"/>
                <w:numId w:val="9"/>
              </w:numPr>
              <w:spacing w:after="60"/>
              <w:ind w:left="604"/>
              <w:jc w:val="both"/>
              <w:rPr>
                <w:rFonts w:eastAsia="Malgun Gothic" w:cs="Times New Roman"/>
                <w:noProof/>
                <w:sz w:val="20"/>
                <w:szCs w:val="20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U chorych z wyjściowymi dodatnimi p-ciałami antyH monitorowanie stężenia p-ciał odbywa się raz </w:t>
            </w:r>
            <w:r w:rsidR="00310614"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na </w:t>
            </w:r>
            <w:r w:rsidR="003A7ED8"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3 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t>miesiąc</w:t>
            </w:r>
            <w:r w:rsidR="00310614" w:rsidRPr="00361D71">
              <w:rPr>
                <w:rFonts w:eastAsia="Malgun Gothic" w:cs="Times New Roman"/>
                <w:noProof/>
                <w:sz w:val="20"/>
                <w:szCs w:val="20"/>
              </w:rPr>
              <w:t>e</w:t>
            </w:r>
            <w:r w:rsidR="00CC599B" w:rsidRPr="00361D71">
              <w:rPr>
                <w:rFonts w:eastAsia="Malgun Gothic" w:cs="Times New Roman"/>
                <w:noProof/>
                <w:sz w:val="20"/>
                <w:szCs w:val="20"/>
              </w:rPr>
              <w:t>.</w:t>
            </w:r>
          </w:p>
          <w:p w:rsidR="00361D71" w:rsidRPr="00361D71" w:rsidRDefault="00361D71" w:rsidP="00361D71">
            <w:pPr>
              <w:spacing w:after="60"/>
              <w:ind w:left="604"/>
              <w:jc w:val="both"/>
              <w:rPr>
                <w:rFonts w:eastAsia="Malgun Gothic" w:cs="Times New Roman"/>
                <w:noProof/>
                <w:sz w:val="20"/>
                <w:szCs w:val="20"/>
              </w:rPr>
            </w:pPr>
          </w:p>
          <w:p w:rsidR="00CC599B" w:rsidRPr="00361D71" w:rsidRDefault="00CC599B" w:rsidP="00361D71">
            <w:pPr>
              <w:pStyle w:val="Akapitzlist"/>
              <w:numPr>
                <w:ilvl w:val="0"/>
                <w:numId w:val="6"/>
              </w:numPr>
              <w:spacing w:after="60"/>
              <w:ind w:left="444" w:hanging="284"/>
              <w:contextualSpacing w:val="0"/>
              <w:jc w:val="both"/>
              <w:rPr>
                <w:rFonts w:eastAsia="Malgun Gothic" w:cs="Times New Roman"/>
                <w:b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b/>
                <w:sz w:val="20"/>
                <w:szCs w:val="20"/>
                <w:lang w:eastAsia="pl-PL"/>
              </w:rPr>
              <w:t>Monitorowanie w czasie czasowego przerwania leczenia</w:t>
            </w:r>
          </w:p>
          <w:p w:rsidR="00CC599B" w:rsidRPr="00361D71" w:rsidRDefault="00CB4ED1" w:rsidP="00361D71">
            <w:pPr>
              <w:spacing w:after="60"/>
              <w:jc w:val="both"/>
              <w:rPr>
                <w:rFonts w:eastAsia="Malgun Gothic" w:cs="Times New Roman"/>
                <w:b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sz w:val="20"/>
                <w:szCs w:val="20"/>
                <w:lang w:eastAsia="pl-PL"/>
              </w:rPr>
              <w:t>W</w:t>
            </w:r>
            <w:r w:rsidR="00CC599B" w:rsidRPr="00361D71">
              <w:rPr>
                <w:rFonts w:cs="Times New Roman"/>
                <w:sz w:val="20"/>
                <w:szCs w:val="20"/>
                <w:lang w:eastAsia="pl-PL"/>
              </w:rPr>
              <w:t xml:space="preserve"> pierwszym roku co miesiąc oraz przy każdej infekcji, a w kolejnych latach co najmniej raz na 3 miesiące (u kobiet w ciąży oraz połogu co miesiąc):</w:t>
            </w:r>
          </w:p>
          <w:p w:rsidR="00CC599B" w:rsidRPr="00361D71" w:rsidRDefault="00CC599B" w:rsidP="00361D71">
            <w:pPr>
              <w:pStyle w:val="Akapitzlist"/>
              <w:numPr>
                <w:ilvl w:val="0"/>
                <w:numId w:val="22"/>
              </w:numPr>
              <w:spacing w:after="60"/>
              <w:contextualSpacing w:val="0"/>
              <w:jc w:val="both"/>
              <w:rPr>
                <w:rFonts w:eastAsia="Malgun Gothic" w:cs="Times New Roman"/>
                <w:b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sz w:val="20"/>
                <w:szCs w:val="20"/>
                <w:lang w:eastAsia="pl-PL"/>
              </w:rPr>
              <w:t>badanie mo</w:t>
            </w:r>
            <w:r w:rsidR="00361D71">
              <w:rPr>
                <w:rFonts w:cs="Times New Roman"/>
                <w:sz w:val="20"/>
                <w:szCs w:val="20"/>
                <w:lang w:eastAsia="pl-PL"/>
              </w:rPr>
              <w:t xml:space="preserve">czu (białkomocz, </w:t>
            </w:r>
            <w:proofErr w:type="spellStart"/>
            <w:r w:rsidR="00361D71">
              <w:rPr>
                <w:rFonts w:cs="Times New Roman"/>
                <w:sz w:val="20"/>
                <w:szCs w:val="20"/>
                <w:lang w:eastAsia="pl-PL"/>
              </w:rPr>
              <w:t>erytrocyturia</w:t>
            </w:r>
            <w:proofErr w:type="spellEnd"/>
            <w:r w:rsidR="00361D71">
              <w:rPr>
                <w:rFonts w:cs="Times New Roman"/>
                <w:sz w:val="20"/>
                <w:szCs w:val="20"/>
                <w:lang w:eastAsia="pl-PL"/>
              </w:rPr>
              <w:t>);</w:t>
            </w:r>
          </w:p>
          <w:p w:rsidR="00CC599B" w:rsidRPr="00361D71" w:rsidRDefault="00CC599B" w:rsidP="00361D71">
            <w:pPr>
              <w:pStyle w:val="Akapitzlist"/>
              <w:numPr>
                <w:ilvl w:val="0"/>
                <w:numId w:val="22"/>
              </w:numPr>
              <w:spacing w:after="60"/>
              <w:contextualSpacing w:val="0"/>
              <w:jc w:val="both"/>
              <w:rPr>
                <w:rFonts w:eastAsia="Malgun Gothic" w:cs="Times New Roman"/>
                <w:b/>
                <w:sz w:val="20"/>
                <w:szCs w:val="20"/>
                <w:lang w:eastAsia="pl-PL"/>
              </w:rPr>
            </w:pPr>
            <w:r w:rsidRPr="00361D71">
              <w:rPr>
                <w:rFonts w:cs="Times New Roman"/>
                <w:sz w:val="20"/>
                <w:szCs w:val="20"/>
                <w:lang w:eastAsia="pl-PL"/>
              </w:rPr>
              <w:t>morfologia (</w:t>
            </w:r>
            <w:proofErr w:type="spellStart"/>
            <w:r w:rsidRPr="00361D71">
              <w:rPr>
                <w:rFonts w:cs="Times New Roman"/>
                <w:sz w:val="20"/>
                <w:szCs w:val="20"/>
                <w:lang w:eastAsia="pl-PL"/>
              </w:rPr>
              <w:t>Hb</w:t>
            </w:r>
            <w:proofErr w:type="spellEnd"/>
            <w:r w:rsidRPr="00361D71">
              <w:rPr>
                <w:rFonts w:cs="Times New Roman"/>
                <w:sz w:val="20"/>
                <w:szCs w:val="20"/>
                <w:lang w:eastAsia="pl-PL"/>
              </w:rPr>
              <w:t>, liczba płytek)</w:t>
            </w:r>
            <w:r w:rsidR="00063F95" w:rsidRPr="00361D71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  <w:p w:rsidR="00361D71" w:rsidRPr="00361D71" w:rsidRDefault="00361D71" w:rsidP="00361D71">
            <w:pPr>
              <w:pStyle w:val="Akapitzlist"/>
              <w:spacing w:after="60"/>
              <w:ind w:left="880"/>
              <w:contextualSpacing w:val="0"/>
              <w:jc w:val="both"/>
              <w:rPr>
                <w:rFonts w:eastAsia="Malgun Gothic" w:cs="Times New Roman"/>
                <w:b/>
                <w:sz w:val="20"/>
                <w:szCs w:val="20"/>
                <w:lang w:eastAsia="pl-PL"/>
              </w:rPr>
            </w:pPr>
          </w:p>
          <w:p w:rsidR="007A1100" w:rsidRPr="00361D71" w:rsidRDefault="005857E6" w:rsidP="00361D71">
            <w:pPr>
              <w:pStyle w:val="Akapitzlist"/>
              <w:numPr>
                <w:ilvl w:val="0"/>
                <w:numId w:val="6"/>
              </w:numPr>
              <w:spacing w:after="60"/>
              <w:ind w:left="444" w:hanging="284"/>
              <w:contextualSpacing w:val="0"/>
              <w:jc w:val="both"/>
              <w:rPr>
                <w:rFonts w:eastAsia="Malgun Gothic" w:cs="Times New Roman"/>
                <w:b/>
                <w:sz w:val="20"/>
                <w:szCs w:val="20"/>
                <w:lang w:eastAsia="pl-PL"/>
              </w:rPr>
            </w:pPr>
            <w:r w:rsidRPr="00361D71">
              <w:rPr>
                <w:rFonts w:eastAsia="Malgun Gothic" w:cs="Times New Roman"/>
                <w:b/>
                <w:sz w:val="20"/>
                <w:szCs w:val="20"/>
                <w:lang w:eastAsia="pl-PL"/>
              </w:rPr>
              <w:t>Monitorowanie programu</w:t>
            </w:r>
          </w:p>
          <w:p w:rsidR="007A1100" w:rsidRPr="00361D71" w:rsidRDefault="00610056" w:rsidP="00361D71">
            <w:pPr>
              <w:widowControl w:val="0"/>
              <w:autoSpaceDE w:val="0"/>
              <w:autoSpaceDN w:val="0"/>
              <w:adjustRightInd w:val="0"/>
              <w:spacing w:after="60"/>
              <w:ind w:left="444" w:hanging="284"/>
              <w:jc w:val="both"/>
              <w:rPr>
                <w:rFonts w:eastAsia="Malgun Gothic" w:cs="Times New Roman"/>
                <w:noProof/>
                <w:sz w:val="20"/>
                <w:szCs w:val="20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t>1)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tab/>
              <w:t>gromadzenie w dokumentacji medycznej pacjenta danych dotyczących monitorowania leczenia i każdorazowe ich przed</w:t>
            </w:r>
            <w:r w:rsidR="00023ACA" w:rsidRPr="00361D71">
              <w:rPr>
                <w:rFonts w:eastAsia="Malgun Gothic" w:cs="Times New Roman"/>
                <w:noProof/>
                <w:sz w:val="20"/>
                <w:szCs w:val="20"/>
              </w:rPr>
              <w:t>stawianie na żądanie kontrolera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t xml:space="preserve"> Narodowego Funduszu Zdrowia</w:t>
            </w:r>
            <w:r w:rsidR="00865E96" w:rsidRPr="00361D71">
              <w:rPr>
                <w:rFonts w:eastAsia="Malgun Gothic" w:cs="Times New Roman"/>
                <w:noProof/>
                <w:sz w:val="20"/>
                <w:szCs w:val="20"/>
              </w:rPr>
              <w:t>;</w:t>
            </w:r>
          </w:p>
          <w:p w:rsidR="00432E39" w:rsidRPr="00361D71" w:rsidRDefault="009F6FCD" w:rsidP="00361D71">
            <w:pPr>
              <w:widowControl w:val="0"/>
              <w:autoSpaceDE w:val="0"/>
              <w:autoSpaceDN w:val="0"/>
              <w:adjustRightInd w:val="0"/>
              <w:spacing w:after="60"/>
              <w:ind w:left="444" w:hanging="284"/>
              <w:jc w:val="both"/>
              <w:outlineLvl w:val="2"/>
              <w:rPr>
                <w:rFonts w:eastAsia="Malgun Gothic" w:cs="Times New Roman"/>
                <w:noProof/>
                <w:sz w:val="20"/>
                <w:szCs w:val="20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lastRenderedPageBreak/>
              <w:t>2)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tab/>
              <w:t xml:space="preserve">uzupełnienie danych zawartych w rejestrze (SMPT) dostępnym za pomocą aplikacji internetowej udostępnionej przez OW </w:t>
            </w:r>
            <w:r w:rsidR="000C53B5" w:rsidRPr="00361D71">
              <w:rPr>
                <w:rFonts w:eastAsia="Malgun Gothic" w:cs="Times New Roman"/>
                <w:noProof/>
                <w:sz w:val="20"/>
                <w:szCs w:val="20"/>
              </w:rPr>
              <w:t>NFZ, z częstotliwością zgodną z </w:t>
            </w: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t>opisem programu oraz na zakończenie leczenia</w:t>
            </w:r>
            <w:r w:rsidR="007A1100" w:rsidRPr="00361D71">
              <w:rPr>
                <w:rFonts w:eastAsia="Malgun Gothic" w:cs="Times New Roman"/>
                <w:noProof/>
                <w:sz w:val="20"/>
                <w:szCs w:val="20"/>
              </w:rPr>
              <w:t>;</w:t>
            </w:r>
          </w:p>
          <w:p w:rsidR="001B1B22" w:rsidRPr="00361D71" w:rsidRDefault="000D3EF1" w:rsidP="00361D71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ind w:left="444" w:hanging="284"/>
              <w:contextualSpacing w:val="0"/>
              <w:jc w:val="both"/>
              <w:outlineLvl w:val="2"/>
              <w:rPr>
                <w:rFonts w:eastAsia="Malgun Gothic" w:cs="Times New Roman"/>
                <w:noProof/>
                <w:sz w:val="20"/>
                <w:szCs w:val="20"/>
              </w:rPr>
            </w:pPr>
            <w:r w:rsidRPr="00361D71">
              <w:rPr>
                <w:rFonts w:eastAsia="Malgun Gothic" w:cs="Times New Roman"/>
                <w:noProof/>
                <w:sz w:val="20"/>
                <w:szCs w:val="20"/>
              </w:rPr>
              <w:t>przekazywanie informacji sprawozdawczo-rozliczeniowych do NFZ: informacje przekazuje się do NFZ w formie papierowej lub w formie elektronicznej, zgodnie z wymaganiami opublikowanymi przez Narodowy Fundusz Zdrowia</w:t>
            </w:r>
            <w:r w:rsidR="007A1100" w:rsidRPr="00361D71">
              <w:rPr>
                <w:rFonts w:eastAsia="Malgun Gothic" w:cs="Times New Roman"/>
                <w:noProof/>
                <w:sz w:val="20"/>
                <w:szCs w:val="20"/>
              </w:rPr>
              <w:t>.</w:t>
            </w:r>
          </w:p>
        </w:tc>
      </w:tr>
    </w:tbl>
    <w:p w:rsidR="00097CEA" w:rsidRPr="00CB4ED1" w:rsidRDefault="00097CEA" w:rsidP="000C53B5">
      <w:pPr>
        <w:spacing w:after="0"/>
        <w:rPr>
          <w:rFonts w:cs="Times New Roman"/>
          <w:noProof/>
          <w:sz w:val="4"/>
          <w:szCs w:val="20"/>
        </w:rPr>
      </w:pPr>
    </w:p>
    <w:sectPr w:rsidR="00097CEA" w:rsidRPr="00CB4ED1" w:rsidSect="00AF1F7E">
      <w:headerReference w:type="default" r:id="rId8"/>
      <w:footerReference w:type="default" r:id="rId9"/>
      <w:pgSz w:w="16838" w:h="11906" w:orient="landscape"/>
      <w:pgMar w:top="1588" w:right="720" w:bottom="142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386722" w16cid:durableId="217D6BE2"/>
  <w16cid:commentId w16cid:paraId="1B16656E" w16cid:durableId="217D7C85"/>
  <w16cid:commentId w16cid:paraId="20C96223" w16cid:durableId="217D6BE3"/>
  <w16cid:commentId w16cid:paraId="68C68F56" w16cid:durableId="217D7D60"/>
  <w16cid:commentId w16cid:paraId="54552BC1" w16cid:durableId="217D6BE4"/>
  <w16cid:commentId w16cid:paraId="627C6912" w16cid:durableId="217D6B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97" w:rsidRDefault="00FE0097" w:rsidP="00EA1DA5">
      <w:pPr>
        <w:spacing w:after="0" w:line="240" w:lineRule="auto"/>
      </w:pPr>
      <w:r>
        <w:separator/>
      </w:r>
    </w:p>
  </w:endnote>
  <w:endnote w:type="continuationSeparator" w:id="0">
    <w:p w:rsidR="00FE0097" w:rsidRDefault="00FE0097" w:rsidP="00EA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48" w:rsidRPr="001B56AA" w:rsidRDefault="00151148" w:rsidP="001B56AA">
    <w:pPr>
      <w:spacing w:after="0" w:line="240" w:lineRule="auto"/>
      <w:jc w:val="center"/>
      <w:rPr>
        <w:rFonts w:eastAsia="Times New Roman" w:cs="Times New Roman"/>
        <w:sz w:val="24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97" w:rsidRDefault="00FE0097" w:rsidP="00EA1DA5">
      <w:pPr>
        <w:spacing w:after="0" w:line="240" w:lineRule="auto"/>
      </w:pPr>
      <w:r>
        <w:separator/>
      </w:r>
    </w:p>
  </w:footnote>
  <w:footnote w:type="continuationSeparator" w:id="0">
    <w:p w:rsidR="00FE0097" w:rsidRDefault="00FE0097" w:rsidP="00EA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F7E" w:rsidRPr="00AF1F7E" w:rsidRDefault="00AF1F7E" w:rsidP="00AF1F7E">
    <w:pPr>
      <w:tabs>
        <w:tab w:val="left" w:pos="426"/>
      </w:tabs>
      <w:spacing w:after="0"/>
      <w:ind w:left="567" w:hanging="567"/>
      <w:jc w:val="both"/>
      <w:rPr>
        <w:rFonts w:cs="Times New Roman"/>
        <w:i/>
        <w:sz w:val="24"/>
        <w:szCs w:val="24"/>
      </w:rPr>
    </w:pPr>
    <w:r>
      <w:rPr>
        <w:rFonts w:cs="Times New Roman"/>
        <w:b/>
        <w:bCs/>
        <w:sz w:val="24"/>
        <w:szCs w:val="24"/>
      </w:rPr>
      <w:t>ZAŁ07-SOP-MD-OKNDiT-05</w:t>
    </w:r>
    <w:r w:rsidRPr="004F0771">
      <w:rPr>
        <w:rFonts w:cs="Times New Roman"/>
        <w:sz w:val="24"/>
        <w:szCs w:val="24"/>
      </w:rPr>
      <w:t xml:space="preserve">  </w:t>
    </w:r>
    <w:r w:rsidRPr="00AF1F7E">
      <w:rPr>
        <w:rFonts w:cs="Times New Roman"/>
        <w:i/>
        <w:sz w:val="24"/>
        <w:szCs w:val="24"/>
      </w:rPr>
      <w:t xml:space="preserve">Programu lekowego atypowego zespołu </w:t>
    </w:r>
    <w:proofErr w:type="spellStart"/>
    <w:r w:rsidRPr="00AF1F7E">
      <w:rPr>
        <w:rFonts w:cs="Times New Roman"/>
        <w:i/>
        <w:sz w:val="24"/>
        <w:szCs w:val="24"/>
      </w:rPr>
      <w:t>hemolityczno</w:t>
    </w:r>
    <w:proofErr w:type="spellEnd"/>
    <w:r w:rsidRPr="00AF1F7E">
      <w:rPr>
        <w:rFonts w:cs="Times New Roman"/>
        <w:i/>
        <w:sz w:val="24"/>
        <w:szCs w:val="24"/>
      </w:rPr>
      <w:t xml:space="preserve"> mocznicowego B95</w:t>
    </w:r>
  </w:p>
  <w:p w:rsidR="00AF1F7E" w:rsidRDefault="00AF1F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D52"/>
    <w:multiLevelType w:val="hybridMultilevel"/>
    <w:tmpl w:val="5650BC64"/>
    <w:lvl w:ilvl="0" w:tplc="D01E9E78">
      <w:start w:val="1"/>
      <w:numFmt w:val="decimal"/>
      <w:lvlText w:val="%1)"/>
      <w:lvlJc w:val="left"/>
      <w:pPr>
        <w:ind w:left="88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02634C43"/>
    <w:multiLevelType w:val="hybridMultilevel"/>
    <w:tmpl w:val="08202884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1A30"/>
    <w:multiLevelType w:val="hybridMultilevel"/>
    <w:tmpl w:val="BCA807AE"/>
    <w:lvl w:ilvl="0" w:tplc="F33A91E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6B43"/>
    <w:multiLevelType w:val="hybridMultilevel"/>
    <w:tmpl w:val="AAB0A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7841"/>
    <w:multiLevelType w:val="hybridMultilevel"/>
    <w:tmpl w:val="F6FCBB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4E6A4A"/>
    <w:multiLevelType w:val="hybridMultilevel"/>
    <w:tmpl w:val="D06AEA04"/>
    <w:lvl w:ilvl="0" w:tplc="18D85DF0">
      <w:start w:val="1"/>
      <w:numFmt w:val="decimal"/>
      <w:lvlText w:val="%1)"/>
      <w:lvlJc w:val="left"/>
      <w:pPr>
        <w:ind w:left="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6" w15:restartNumberingAfterBreak="0">
    <w:nsid w:val="13BB190D"/>
    <w:multiLevelType w:val="hybridMultilevel"/>
    <w:tmpl w:val="A64096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796189"/>
    <w:multiLevelType w:val="hybridMultilevel"/>
    <w:tmpl w:val="CE62062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76CD0"/>
    <w:multiLevelType w:val="hybridMultilevel"/>
    <w:tmpl w:val="F33CEADE"/>
    <w:lvl w:ilvl="0" w:tplc="01266D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258EB"/>
    <w:multiLevelType w:val="hybridMultilevel"/>
    <w:tmpl w:val="E90C09D8"/>
    <w:lvl w:ilvl="0" w:tplc="457C05F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D42C8"/>
    <w:multiLevelType w:val="hybridMultilevel"/>
    <w:tmpl w:val="4CD88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21463"/>
    <w:multiLevelType w:val="multilevel"/>
    <w:tmpl w:val="331403C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70D7B24"/>
    <w:multiLevelType w:val="hybridMultilevel"/>
    <w:tmpl w:val="1D2EE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61921"/>
    <w:multiLevelType w:val="multilevel"/>
    <w:tmpl w:val="D56A022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1834FC"/>
    <w:multiLevelType w:val="multilevel"/>
    <w:tmpl w:val="C32C11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AC06D11"/>
    <w:multiLevelType w:val="hybridMultilevel"/>
    <w:tmpl w:val="F56AAB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3830A9"/>
    <w:multiLevelType w:val="hybridMultilevel"/>
    <w:tmpl w:val="FF2828D8"/>
    <w:lvl w:ilvl="0" w:tplc="0A2230B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A62B4"/>
    <w:multiLevelType w:val="hybridMultilevel"/>
    <w:tmpl w:val="A3683AA0"/>
    <w:lvl w:ilvl="0" w:tplc="A0CAD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E268B"/>
    <w:multiLevelType w:val="hybridMultilevel"/>
    <w:tmpl w:val="2A74F7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E31631"/>
    <w:multiLevelType w:val="hybridMultilevel"/>
    <w:tmpl w:val="14624084"/>
    <w:lvl w:ilvl="0" w:tplc="1898DB0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854A6"/>
    <w:multiLevelType w:val="hybridMultilevel"/>
    <w:tmpl w:val="6FB86A1A"/>
    <w:lvl w:ilvl="0" w:tplc="D1D20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00534"/>
    <w:multiLevelType w:val="hybridMultilevel"/>
    <w:tmpl w:val="75D29920"/>
    <w:lvl w:ilvl="0" w:tplc="0AA83F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5"/>
  </w:num>
  <w:num w:numId="5">
    <w:abstractNumId w:val="14"/>
  </w:num>
  <w:num w:numId="6">
    <w:abstractNumId w:val="4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16"/>
  </w:num>
  <w:num w:numId="12">
    <w:abstractNumId w:val="19"/>
  </w:num>
  <w:num w:numId="13">
    <w:abstractNumId w:val="6"/>
  </w:num>
  <w:num w:numId="14">
    <w:abstractNumId w:val="8"/>
  </w:num>
  <w:num w:numId="15">
    <w:abstractNumId w:val="2"/>
  </w:num>
  <w:num w:numId="16">
    <w:abstractNumId w:val="11"/>
  </w:num>
  <w:num w:numId="17">
    <w:abstractNumId w:val="12"/>
  </w:num>
  <w:num w:numId="18">
    <w:abstractNumId w:val="1"/>
  </w:num>
  <w:num w:numId="19">
    <w:abstractNumId w:val="3"/>
  </w:num>
  <w:num w:numId="20">
    <w:abstractNumId w:val="5"/>
  </w:num>
  <w:num w:numId="21">
    <w:abstractNumId w:val="21"/>
  </w:num>
  <w:num w:numId="2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EA"/>
    <w:rsid w:val="000013EC"/>
    <w:rsid w:val="00002A2B"/>
    <w:rsid w:val="00006DF5"/>
    <w:rsid w:val="0000721A"/>
    <w:rsid w:val="0001743B"/>
    <w:rsid w:val="00023ACA"/>
    <w:rsid w:val="00025164"/>
    <w:rsid w:val="00026323"/>
    <w:rsid w:val="000373F3"/>
    <w:rsid w:val="00041166"/>
    <w:rsid w:val="0004348E"/>
    <w:rsid w:val="000456A0"/>
    <w:rsid w:val="00047DC9"/>
    <w:rsid w:val="00056459"/>
    <w:rsid w:val="0005789F"/>
    <w:rsid w:val="00063F95"/>
    <w:rsid w:val="0006711D"/>
    <w:rsid w:val="0007539B"/>
    <w:rsid w:val="000754AD"/>
    <w:rsid w:val="00077BB5"/>
    <w:rsid w:val="0008481F"/>
    <w:rsid w:val="00090758"/>
    <w:rsid w:val="00091A0D"/>
    <w:rsid w:val="00097CEA"/>
    <w:rsid w:val="000A3BBD"/>
    <w:rsid w:val="000A4EC2"/>
    <w:rsid w:val="000C1AD2"/>
    <w:rsid w:val="000C40F2"/>
    <w:rsid w:val="000C494E"/>
    <w:rsid w:val="000C4A9C"/>
    <w:rsid w:val="000C53B5"/>
    <w:rsid w:val="000D15D3"/>
    <w:rsid w:val="000D1E01"/>
    <w:rsid w:val="000D2D31"/>
    <w:rsid w:val="000D3EF1"/>
    <w:rsid w:val="000E07F9"/>
    <w:rsid w:val="000E1CAA"/>
    <w:rsid w:val="000E2DC9"/>
    <w:rsid w:val="000E71D9"/>
    <w:rsid w:val="000F128E"/>
    <w:rsid w:val="000F21B8"/>
    <w:rsid w:val="000F2C53"/>
    <w:rsid w:val="000F483F"/>
    <w:rsid w:val="00101A8D"/>
    <w:rsid w:val="00102D95"/>
    <w:rsid w:val="00104C6F"/>
    <w:rsid w:val="001253D4"/>
    <w:rsid w:val="00132003"/>
    <w:rsid w:val="00132D85"/>
    <w:rsid w:val="001336E6"/>
    <w:rsid w:val="001370BE"/>
    <w:rsid w:val="001378E5"/>
    <w:rsid w:val="00141398"/>
    <w:rsid w:val="00144AA9"/>
    <w:rsid w:val="00146EA1"/>
    <w:rsid w:val="00147030"/>
    <w:rsid w:val="00151148"/>
    <w:rsid w:val="00151CE5"/>
    <w:rsid w:val="00160BD6"/>
    <w:rsid w:val="00167FA4"/>
    <w:rsid w:val="00170FF1"/>
    <w:rsid w:val="00171A23"/>
    <w:rsid w:val="00177B7B"/>
    <w:rsid w:val="001807E9"/>
    <w:rsid w:val="0018114E"/>
    <w:rsid w:val="001A05E1"/>
    <w:rsid w:val="001B1381"/>
    <w:rsid w:val="001B1B22"/>
    <w:rsid w:val="001B56AA"/>
    <w:rsid w:val="001C1439"/>
    <w:rsid w:val="001C448F"/>
    <w:rsid w:val="001C7F49"/>
    <w:rsid w:val="001D45E9"/>
    <w:rsid w:val="001E60E0"/>
    <w:rsid w:val="001E7B2B"/>
    <w:rsid w:val="001F196D"/>
    <w:rsid w:val="001F2645"/>
    <w:rsid w:val="00204A2A"/>
    <w:rsid w:val="00206A72"/>
    <w:rsid w:val="00206BF3"/>
    <w:rsid w:val="00216EE9"/>
    <w:rsid w:val="00221E99"/>
    <w:rsid w:val="0023426C"/>
    <w:rsid w:val="002415C2"/>
    <w:rsid w:val="00254C0A"/>
    <w:rsid w:val="002556A9"/>
    <w:rsid w:val="0025589F"/>
    <w:rsid w:val="00270696"/>
    <w:rsid w:val="00273018"/>
    <w:rsid w:val="00273568"/>
    <w:rsid w:val="00273A80"/>
    <w:rsid w:val="002750D5"/>
    <w:rsid w:val="00281FF1"/>
    <w:rsid w:val="00283A86"/>
    <w:rsid w:val="0028520C"/>
    <w:rsid w:val="0028550B"/>
    <w:rsid w:val="0028718E"/>
    <w:rsid w:val="00294644"/>
    <w:rsid w:val="002A10E7"/>
    <w:rsid w:val="002A1B8B"/>
    <w:rsid w:val="002A77FC"/>
    <w:rsid w:val="002B2CFE"/>
    <w:rsid w:val="002B61AF"/>
    <w:rsid w:val="002B7BEC"/>
    <w:rsid w:val="002C26E0"/>
    <w:rsid w:val="002D1885"/>
    <w:rsid w:val="002E22A3"/>
    <w:rsid w:val="002E4BF7"/>
    <w:rsid w:val="002E6717"/>
    <w:rsid w:val="002E7D10"/>
    <w:rsid w:val="002F0864"/>
    <w:rsid w:val="002F15EF"/>
    <w:rsid w:val="002F7162"/>
    <w:rsid w:val="00300CB3"/>
    <w:rsid w:val="00310614"/>
    <w:rsid w:val="00312192"/>
    <w:rsid w:val="003127A4"/>
    <w:rsid w:val="003134D7"/>
    <w:rsid w:val="003166E8"/>
    <w:rsid w:val="00317542"/>
    <w:rsid w:val="0033173E"/>
    <w:rsid w:val="00333F0F"/>
    <w:rsid w:val="0033779D"/>
    <w:rsid w:val="00341D28"/>
    <w:rsid w:val="00343151"/>
    <w:rsid w:val="003441DD"/>
    <w:rsid w:val="0035396C"/>
    <w:rsid w:val="00354FDB"/>
    <w:rsid w:val="003563E9"/>
    <w:rsid w:val="003612E3"/>
    <w:rsid w:val="00361D71"/>
    <w:rsid w:val="00362906"/>
    <w:rsid w:val="003754D2"/>
    <w:rsid w:val="003768BD"/>
    <w:rsid w:val="00376A3E"/>
    <w:rsid w:val="00383B8B"/>
    <w:rsid w:val="00392D9A"/>
    <w:rsid w:val="0039404A"/>
    <w:rsid w:val="003A23D4"/>
    <w:rsid w:val="003A7ED8"/>
    <w:rsid w:val="003B1B40"/>
    <w:rsid w:val="003B5DCA"/>
    <w:rsid w:val="003C5076"/>
    <w:rsid w:val="003C53D3"/>
    <w:rsid w:val="003C684B"/>
    <w:rsid w:val="003D49A0"/>
    <w:rsid w:val="003F0397"/>
    <w:rsid w:val="004015B5"/>
    <w:rsid w:val="00403769"/>
    <w:rsid w:val="00407EC7"/>
    <w:rsid w:val="00422BFD"/>
    <w:rsid w:val="0042380B"/>
    <w:rsid w:val="00424DF0"/>
    <w:rsid w:val="00425F95"/>
    <w:rsid w:val="00432E39"/>
    <w:rsid w:val="00433221"/>
    <w:rsid w:val="00435817"/>
    <w:rsid w:val="00440105"/>
    <w:rsid w:val="00452571"/>
    <w:rsid w:val="00471375"/>
    <w:rsid w:val="00486DC5"/>
    <w:rsid w:val="00486F85"/>
    <w:rsid w:val="004A02DE"/>
    <w:rsid w:val="004A5E63"/>
    <w:rsid w:val="004B3CF1"/>
    <w:rsid w:val="004B50EF"/>
    <w:rsid w:val="004B541C"/>
    <w:rsid w:val="004C782F"/>
    <w:rsid w:val="004E3D3B"/>
    <w:rsid w:val="004E554D"/>
    <w:rsid w:val="004E6CE9"/>
    <w:rsid w:val="004F02FF"/>
    <w:rsid w:val="00502DAD"/>
    <w:rsid w:val="005039C1"/>
    <w:rsid w:val="00504605"/>
    <w:rsid w:val="00506821"/>
    <w:rsid w:val="0050762D"/>
    <w:rsid w:val="00520887"/>
    <w:rsid w:val="0052217A"/>
    <w:rsid w:val="00526A07"/>
    <w:rsid w:val="00535296"/>
    <w:rsid w:val="0053615E"/>
    <w:rsid w:val="00545BA6"/>
    <w:rsid w:val="005534C3"/>
    <w:rsid w:val="00553F95"/>
    <w:rsid w:val="00556544"/>
    <w:rsid w:val="00561055"/>
    <w:rsid w:val="0056135E"/>
    <w:rsid w:val="005659B7"/>
    <w:rsid w:val="00566F29"/>
    <w:rsid w:val="00567DC2"/>
    <w:rsid w:val="00567F42"/>
    <w:rsid w:val="0057219F"/>
    <w:rsid w:val="00574148"/>
    <w:rsid w:val="0058135A"/>
    <w:rsid w:val="005857E6"/>
    <w:rsid w:val="0058618B"/>
    <w:rsid w:val="005952EB"/>
    <w:rsid w:val="005A1A30"/>
    <w:rsid w:val="005B4DCB"/>
    <w:rsid w:val="005B5BA4"/>
    <w:rsid w:val="005B5F3A"/>
    <w:rsid w:val="005B5FF5"/>
    <w:rsid w:val="005C018B"/>
    <w:rsid w:val="005C78BE"/>
    <w:rsid w:val="005D49B0"/>
    <w:rsid w:val="005E2987"/>
    <w:rsid w:val="005E530E"/>
    <w:rsid w:val="005E593A"/>
    <w:rsid w:val="005E5B08"/>
    <w:rsid w:val="005F194D"/>
    <w:rsid w:val="005F2D84"/>
    <w:rsid w:val="00603693"/>
    <w:rsid w:val="00607828"/>
    <w:rsid w:val="00610056"/>
    <w:rsid w:val="006114D8"/>
    <w:rsid w:val="00611DD2"/>
    <w:rsid w:val="0061264C"/>
    <w:rsid w:val="006176A2"/>
    <w:rsid w:val="0061787D"/>
    <w:rsid w:val="00620D2D"/>
    <w:rsid w:val="006265EB"/>
    <w:rsid w:val="00626BA2"/>
    <w:rsid w:val="0062764A"/>
    <w:rsid w:val="006325F6"/>
    <w:rsid w:val="00640CEF"/>
    <w:rsid w:val="00645863"/>
    <w:rsid w:val="0064774D"/>
    <w:rsid w:val="00650008"/>
    <w:rsid w:val="006528AE"/>
    <w:rsid w:val="0065670F"/>
    <w:rsid w:val="00656D7D"/>
    <w:rsid w:val="00663BF9"/>
    <w:rsid w:val="006729B0"/>
    <w:rsid w:val="00673048"/>
    <w:rsid w:val="00674201"/>
    <w:rsid w:val="00677FE5"/>
    <w:rsid w:val="00680E82"/>
    <w:rsid w:val="006842F3"/>
    <w:rsid w:val="00685AF6"/>
    <w:rsid w:val="0068762D"/>
    <w:rsid w:val="0068794B"/>
    <w:rsid w:val="0069097B"/>
    <w:rsid w:val="0069259F"/>
    <w:rsid w:val="006926B1"/>
    <w:rsid w:val="00693834"/>
    <w:rsid w:val="006A11A3"/>
    <w:rsid w:val="006A6C32"/>
    <w:rsid w:val="006B28FB"/>
    <w:rsid w:val="006B7DCC"/>
    <w:rsid w:val="006D45B2"/>
    <w:rsid w:val="006D6AD7"/>
    <w:rsid w:val="006E1D88"/>
    <w:rsid w:val="006F24D2"/>
    <w:rsid w:val="007021EA"/>
    <w:rsid w:val="0070786C"/>
    <w:rsid w:val="00710488"/>
    <w:rsid w:val="007177CF"/>
    <w:rsid w:val="00720802"/>
    <w:rsid w:val="007325D8"/>
    <w:rsid w:val="00734DE6"/>
    <w:rsid w:val="0074188D"/>
    <w:rsid w:val="0075084E"/>
    <w:rsid w:val="007509E8"/>
    <w:rsid w:val="00753276"/>
    <w:rsid w:val="00753748"/>
    <w:rsid w:val="00772119"/>
    <w:rsid w:val="00774521"/>
    <w:rsid w:val="00776914"/>
    <w:rsid w:val="00777801"/>
    <w:rsid w:val="007803EC"/>
    <w:rsid w:val="00793FEE"/>
    <w:rsid w:val="0079546E"/>
    <w:rsid w:val="0079655D"/>
    <w:rsid w:val="007A1100"/>
    <w:rsid w:val="007A359F"/>
    <w:rsid w:val="007A41E4"/>
    <w:rsid w:val="007A7B0E"/>
    <w:rsid w:val="007B688C"/>
    <w:rsid w:val="007C1289"/>
    <w:rsid w:val="007C280C"/>
    <w:rsid w:val="007C6288"/>
    <w:rsid w:val="007D16EF"/>
    <w:rsid w:val="007D2199"/>
    <w:rsid w:val="007D3478"/>
    <w:rsid w:val="007D3E1E"/>
    <w:rsid w:val="007F1270"/>
    <w:rsid w:val="007F35A9"/>
    <w:rsid w:val="007F3672"/>
    <w:rsid w:val="007F3A71"/>
    <w:rsid w:val="007F49B9"/>
    <w:rsid w:val="00804B1A"/>
    <w:rsid w:val="00806AC4"/>
    <w:rsid w:val="008070D1"/>
    <w:rsid w:val="00811FCB"/>
    <w:rsid w:val="00815B95"/>
    <w:rsid w:val="00820C5D"/>
    <w:rsid w:val="00821E0E"/>
    <w:rsid w:val="00824F8A"/>
    <w:rsid w:val="0082647C"/>
    <w:rsid w:val="008267FA"/>
    <w:rsid w:val="008319D0"/>
    <w:rsid w:val="00854EFF"/>
    <w:rsid w:val="008571E4"/>
    <w:rsid w:val="008640DC"/>
    <w:rsid w:val="00865E96"/>
    <w:rsid w:val="00866185"/>
    <w:rsid w:val="0087038A"/>
    <w:rsid w:val="0087188B"/>
    <w:rsid w:val="00874E77"/>
    <w:rsid w:val="00876395"/>
    <w:rsid w:val="00881D15"/>
    <w:rsid w:val="008846FD"/>
    <w:rsid w:val="00893162"/>
    <w:rsid w:val="00893878"/>
    <w:rsid w:val="008C1035"/>
    <w:rsid w:val="008C34FA"/>
    <w:rsid w:val="008C3F10"/>
    <w:rsid w:val="008D1F33"/>
    <w:rsid w:val="008D2948"/>
    <w:rsid w:val="008D3328"/>
    <w:rsid w:val="008D48AB"/>
    <w:rsid w:val="008D5A67"/>
    <w:rsid w:val="008E1537"/>
    <w:rsid w:val="008E5566"/>
    <w:rsid w:val="008E77C3"/>
    <w:rsid w:val="008E7D9A"/>
    <w:rsid w:val="008F0341"/>
    <w:rsid w:val="008F0A58"/>
    <w:rsid w:val="008F5E2D"/>
    <w:rsid w:val="008F62EB"/>
    <w:rsid w:val="009032E5"/>
    <w:rsid w:val="00914C9F"/>
    <w:rsid w:val="00922052"/>
    <w:rsid w:val="00924C14"/>
    <w:rsid w:val="00926197"/>
    <w:rsid w:val="009330C9"/>
    <w:rsid w:val="00934930"/>
    <w:rsid w:val="009416AA"/>
    <w:rsid w:val="00942FC6"/>
    <w:rsid w:val="009440F9"/>
    <w:rsid w:val="00953B68"/>
    <w:rsid w:val="00953D1E"/>
    <w:rsid w:val="00954469"/>
    <w:rsid w:val="0095558E"/>
    <w:rsid w:val="00981304"/>
    <w:rsid w:val="009829F4"/>
    <w:rsid w:val="0098586D"/>
    <w:rsid w:val="00992ACD"/>
    <w:rsid w:val="00992CD3"/>
    <w:rsid w:val="00995849"/>
    <w:rsid w:val="00997C1B"/>
    <w:rsid w:val="009A4CE1"/>
    <w:rsid w:val="009B024D"/>
    <w:rsid w:val="009B6E4C"/>
    <w:rsid w:val="009C3E5B"/>
    <w:rsid w:val="009D1230"/>
    <w:rsid w:val="009D69D4"/>
    <w:rsid w:val="009F6FCD"/>
    <w:rsid w:val="009F7A2F"/>
    <w:rsid w:val="009F7DF3"/>
    <w:rsid w:val="00A122B2"/>
    <w:rsid w:val="00A15938"/>
    <w:rsid w:val="00A15965"/>
    <w:rsid w:val="00A16F1C"/>
    <w:rsid w:val="00A21C87"/>
    <w:rsid w:val="00A26506"/>
    <w:rsid w:val="00A31E35"/>
    <w:rsid w:val="00A35D58"/>
    <w:rsid w:val="00A45C3A"/>
    <w:rsid w:val="00A50AEA"/>
    <w:rsid w:val="00A51289"/>
    <w:rsid w:val="00A63089"/>
    <w:rsid w:val="00A64093"/>
    <w:rsid w:val="00A6454B"/>
    <w:rsid w:val="00A65774"/>
    <w:rsid w:val="00A7307B"/>
    <w:rsid w:val="00A774EE"/>
    <w:rsid w:val="00A92572"/>
    <w:rsid w:val="00A944FF"/>
    <w:rsid w:val="00AA1711"/>
    <w:rsid w:val="00AA73B1"/>
    <w:rsid w:val="00AB1246"/>
    <w:rsid w:val="00AB1BB1"/>
    <w:rsid w:val="00AB789D"/>
    <w:rsid w:val="00AC5E45"/>
    <w:rsid w:val="00AD4170"/>
    <w:rsid w:val="00AE0C1D"/>
    <w:rsid w:val="00AE3821"/>
    <w:rsid w:val="00AE7662"/>
    <w:rsid w:val="00AF04B0"/>
    <w:rsid w:val="00AF0983"/>
    <w:rsid w:val="00AF1F7E"/>
    <w:rsid w:val="00AF268E"/>
    <w:rsid w:val="00AF49C5"/>
    <w:rsid w:val="00B009B3"/>
    <w:rsid w:val="00B13ADE"/>
    <w:rsid w:val="00B2148E"/>
    <w:rsid w:val="00B242C3"/>
    <w:rsid w:val="00B248D0"/>
    <w:rsid w:val="00B27C05"/>
    <w:rsid w:val="00B331F7"/>
    <w:rsid w:val="00B348AD"/>
    <w:rsid w:val="00B36B45"/>
    <w:rsid w:val="00B450F3"/>
    <w:rsid w:val="00B45CC1"/>
    <w:rsid w:val="00B556A1"/>
    <w:rsid w:val="00B55851"/>
    <w:rsid w:val="00B61C4A"/>
    <w:rsid w:val="00B629FA"/>
    <w:rsid w:val="00B64201"/>
    <w:rsid w:val="00B660D9"/>
    <w:rsid w:val="00B72831"/>
    <w:rsid w:val="00B92F96"/>
    <w:rsid w:val="00BB2C29"/>
    <w:rsid w:val="00BB63C6"/>
    <w:rsid w:val="00BB74F1"/>
    <w:rsid w:val="00BC2DD4"/>
    <w:rsid w:val="00BD08B6"/>
    <w:rsid w:val="00BD1748"/>
    <w:rsid w:val="00BE507A"/>
    <w:rsid w:val="00BE61DA"/>
    <w:rsid w:val="00BF3C87"/>
    <w:rsid w:val="00BF657F"/>
    <w:rsid w:val="00BF6B81"/>
    <w:rsid w:val="00C02F14"/>
    <w:rsid w:val="00C04A17"/>
    <w:rsid w:val="00C04EE6"/>
    <w:rsid w:val="00C07354"/>
    <w:rsid w:val="00C12C2D"/>
    <w:rsid w:val="00C168E5"/>
    <w:rsid w:val="00C22A79"/>
    <w:rsid w:val="00C31E31"/>
    <w:rsid w:val="00C37181"/>
    <w:rsid w:val="00C41BBB"/>
    <w:rsid w:val="00C451D9"/>
    <w:rsid w:val="00C45D55"/>
    <w:rsid w:val="00C55DBD"/>
    <w:rsid w:val="00C56EF4"/>
    <w:rsid w:val="00C63358"/>
    <w:rsid w:val="00C63FED"/>
    <w:rsid w:val="00C65856"/>
    <w:rsid w:val="00C66DE3"/>
    <w:rsid w:val="00C92B6A"/>
    <w:rsid w:val="00C948B1"/>
    <w:rsid w:val="00C96566"/>
    <w:rsid w:val="00CA5B1F"/>
    <w:rsid w:val="00CB2B20"/>
    <w:rsid w:val="00CB4255"/>
    <w:rsid w:val="00CB4ED1"/>
    <w:rsid w:val="00CB6289"/>
    <w:rsid w:val="00CC599B"/>
    <w:rsid w:val="00CD3F29"/>
    <w:rsid w:val="00CD5BB3"/>
    <w:rsid w:val="00CE056C"/>
    <w:rsid w:val="00CE0612"/>
    <w:rsid w:val="00CE5375"/>
    <w:rsid w:val="00CF0B3F"/>
    <w:rsid w:val="00CF31DA"/>
    <w:rsid w:val="00CF5366"/>
    <w:rsid w:val="00D038A3"/>
    <w:rsid w:val="00D05A7D"/>
    <w:rsid w:val="00D13539"/>
    <w:rsid w:val="00D14628"/>
    <w:rsid w:val="00D15452"/>
    <w:rsid w:val="00D16309"/>
    <w:rsid w:val="00D179BB"/>
    <w:rsid w:val="00D25128"/>
    <w:rsid w:val="00D262D8"/>
    <w:rsid w:val="00D36DB7"/>
    <w:rsid w:val="00D411F2"/>
    <w:rsid w:val="00D41DF5"/>
    <w:rsid w:val="00D44B44"/>
    <w:rsid w:val="00D5065D"/>
    <w:rsid w:val="00D56802"/>
    <w:rsid w:val="00D71A54"/>
    <w:rsid w:val="00D77A41"/>
    <w:rsid w:val="00D961EF"/>
    <w:rsid w:val="00DA42B6"/>
    <w:rsid w:val="00DA6529"/>
    <w:rsid w:val="00DA7482"/>
    <w:rsid w:val="00DC135D"/>
    <w:rsid w:val="00DC6857"/>
    <w:rsid w:val="00DC7F1B"/>
    <w:rsid w:val="00DD5BEF"/>
    <w:rsid w:val="00DE0DCE"/>
    <w:rsid w:val="00DE3152"/>
    <w:rsid w:val="00DF0715"/>
    <w:rsid w:val="00E00A76"/>
    <w:rsid w:val="00E03C1D"/>
    <w:rsid w:val="00E05816"/>
    <w:rsid w:val="00E0619E"/>
    <w:rsid w:val="00E206D5"/>
    <w:rsid w:val="00E25BF2"/>
    <w:rsid w:val="00E26BD6"/>
    <w:rsid w:val="00E27171"/>
    <w:rsid w:val="00E318C0"/>
    <w:rsid w:val="00E33008"/>
    <w:rsid w:val="00E550AB"/>
    <w:rsid w:val="00E570C1"/>
    <w:rsid w:val="00E616D9"/>
    <w:rsid w:val="00E620FE"/>
    <w:rsid w:val="00E65E51"/>
    <w:rsid w:val="00E67B28"/>
    <w:rsid w:val="00E70753"/>
    <w:rsid w:val="00E72F70"/>
    <w:rsid w:val="00E81959"/>
    <w:rsid w:val="00E82727"/>
    <w:rsid w:val="00E82F15"/>
    <w:rsid w:val="00E9629A"/>
    <w:rsid w:val="00EA1DA5"/>
    <w:rsid w:val="00EA2602"/>
    <w:rsid w:val="00EA2FD4"/>
    <w:rsid w:val="00EA4787"/>
    <w:rsid w:val="00EA7180"/>
    <w:rsid w:val="00EB0AA1"/>
    <w:rsid w:val="00EB16A2"/>
    <w:rsid w:val="00EC1C7A"/>
    <w:rsid w:val="00ED0839"/>
    <w:rsid w:val="00EE1BEE"/>
    <w:rsid w:val="00EE22F3"/>
    <w:rsid w:val="00EE2B30"/>
    <w:rsid w:val="00EE33D7"/>
    <w:rsid w:val="00EE7FB1"/>
    <w:rsid w:val="00EF0477"/>
    <w:rsid w:val="00EF0EA9"/>
    <w:rsid w:val="00EF253C"/>
    <w:rsid w:val="00EF4B76"/>
    <w:rsid w:val="00F008F6"/>
    <w:rsid w:val="00F009E4"/>
    <w:rsid w:val="00F018A1"/>
    <w:rsid w:val="00F14796"/>
    <w:rsid w:val="00F1688B"/>
    <w:rsid w:val="00F23E89"/>
    <w:rsid w:val="00F25D1D"/>
    <w:rsid w:val="00F31D2F"/>
    <w:rsid w:val="00F31FBD"/>
    <w:rsid w:val="00F33533"/>
    <w:rsid w:val="00F35249"/>
    <w:rsid w:val="00F45AE5"/>
    <w:rsid w:val="00F47E53"/>
    <w:rsid w:val="00F50204"/>
    <w:rsid w:val="00F54649"/>
    <w:rsid w:val="00F55F2E"/>
    <w:rsid w:val="00F57FAD"/>
    <w:rsid w:val="00F61451"/>
    <w:rsid w:val="00F67E92"/>
    <w:rsid w:val="00F72927"/>
    <w:rsid w:val="00F72E4D"/>
    <w:rsid w:val="00F73BDD"/>
    <w:rsid w:val="00F77E4C"/>
    <w:rsid w:val="00F809D3"/>
    <w:rsid w:val="00F93591"/>
    <w:rsid w:val="00F95940"/>
    <w:rsid w:val="00FB23FF"/>
    <w:rsid w:val="00FC03CC"/>
    <w:rsid w:val="00FC08A4"/>
    <w:rsid w:val="00FC20AD"/>
    <w:rsid w:val="00FC3640"/>
    <w:rsid w:val="00FC3A64"/>
    <w:rsid w:val="00FC6B13"/>
    <w:rsid w:val="00FD2B5C"/>
    <w:rsid w:val="00FD2C2C"/>
    <w:rsid w:val="00FD49B7"/>
    <w:rsid w:val="00FD5177"/>
    <w:rsid w:val="00FE0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2528C5"/>
  <w15:docId w15:val="{C35A1939-3441-48E2-A96C-0112B32B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6EF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7C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5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Odwoanieprzypisudolnego">
    <w:name w:val="footnote reference"/>
    <w:basedOn w:val="Domylnaczcionkaakapitu"/>
    <w:uiPriority w:val="99"/>
    <w:semiHidden/>
    <w:unhideWhenUsed/>
    <w:rsid w:val="008F0A58"/>
    <w:rPr>
      <w:vertAlign w:val="superscript"/>
    </w:rPr>
  </w:style>
  <w:style w:type="paragraph" w:styleId="Bezodstpw">
    <w:name w:val="No Spacing"/>
    <w:basedOn w:val="Normalny"/>
    <w:uiPriority w:val="1"/>
    <w:qFormat/>
    <w:rsid w:val="008F0A58"/>
    <w:pPr>
      <w:autoSpaceDE w:val="0"/>
      <w:autoSpaceDN w:val="0"/>
      <w:adjustRightInd w:val="0"/>
      <w:spacing w:before="60" w:after="0" w:line="240" w:lineRule="auto"/>
      <w:jc w:val="both"/>
    </w:pPr>
    <w:rPr>
      <w:rFonts w:eastAsia="Times New Roman" w:cs="Times New Roman"/>
      <w:sz w:val="20"/>
      <w:szCs w:val="20"/>
      <w:lang w:val="en-GB" w:eastAsia="pl-PL"/>
    </w:rPr>
  </w:style>
  <w:style w:type="table" w:customStyle="1" w:styleId="Jasnecieniowanie1">
    <w:name w:val="Jasne cieniowanie1"/>
    <w:basedOn w:val="Standardowy"/>
    <w:uiPriority w:val="60"/>
    <w:rsid w:val="008F0A58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CA5B1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A5B1F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5B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5B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5B1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B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B1F"/>
    <w:rPr>
      <w:rFonts w:ascii="Times New Roman" w:hAnsi="Times New Roman"/>
      <w:b/>
      <w:bCs/>
      <w:sz w:val="20"/>
      <w:szCs w:val="20"/>
    </w:rPr>
  </w:style>
  <w:style w:type="paragraph" w:customStyle="1" w:styleId="Tabelka">
    <w:name w:val="Tabelka"/>
    <w:basedOn w:val="Normalny"/>
    <w:link w:val="TabelkaZnak"/>
    <w:qFormat/>
    <w:rsid w:val="00317542"/>
    <w:pPr>
      <w:widowControl w:val="0"/>
      <w:adjustRightInd w:val="0"/>
      <w:spacing w:before="60" w:after="60"/>
      <w:jc w:val="both"/>
      <w:textAlignment w:val="baseline"/>
    </w:pPr>
    <w:rPr>
      <w:rFonts w:ascii="Cambria" w:eastAsia="Times New Roman" w:hAnsi="Cambria" w:cs="Arial"/>
      <w:color w:val="000000"/>
      <w:sz w:val="20"/>
      <w:szCs w:val="20"/>
      <w:lang w:eastAsia="pl-PL"/>
    </w:rPr>
  </w:style>
  <w:style w:type="character" w:customStyle="1" w:styleId="TabelkaZnak">
    <w:name w:val="Tabelka Znak"/>
    <w:basedOn w:val="Domylnaczcionkaakapitu"/>
    <w:link w:val="Tabelka"/>
    <w:locked/>
    <w:rsid w:val="00317542"/>
    <w:rPr>
      <w:rFonts w:ascii="Cambria" w:eastAsia="Times New Roman" w:hAnsi="Cambria" w:cs="Arial"/>
      <w:color w:val="000000"/>
      <w:sz w:val="20"/>
      <w:szCs w:val="20"/>
      <w:lang w:eastAsia="pl-PL"/>
    </w:rPr>
  </w:style>
  <w:style w:type="character" w:customStyle="1" w:styleId="hps">
    <w:name w:val="hps"/>
    <w:basedOn w:val="Domylnaczcionkaakapitu"/>
    <w:rsid w:val="005534C3"/>
  </w:style>
  <w:style w:type="table" w:customStyle="1" w:styleId="Jasnecieniowanie2">
    <w:name w:val="Jasne cieniowanie2"/>
    <w:basedOn w:val="Standardowy"/>
    <w:uiPriority w:val="60"/>
    <w:rsid w:val="005039C1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oprawka">
    <w:name w:val="Revision"/>
    <w:hidden/>
    <w:uiPriority w:val="99"/>
    <w:semiHidden/>
    <w:rsid w:val="00663BF9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0AE3-55CF-4076-8BB6-3E1CBD05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6419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 Magdalena</dc:creator>
  <cp:lastModifiedBy>Monika Lamańska</cp:lastModifiedBy>
  <cp:revision>2</cp:revision>
  <cp:lastPrinted>2019-11-18T12:31:00Z</cp:lastPrinted>
  <dcterms:created xsi:type="dcterms:W3CDTF">2024-09-13T09:31:00Z</dcterms:created>
  <dcterms:modified xsi:type="dcterms:W3CDTF">2024-09-13T09:31:00Z</dcterms:modified>
</cp:coreProperties>
</file>