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853759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DFP.271.20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CD5F7D">
        <w:rPr>
          <w:rFonts w:ascii="Garamond" w:eastAsia="Times New Roman" w:hAnsi="Garamond" w:cs="Times New Roman"/>
          <w:lang w:eastAsia="pl-PL"/>
        </w:rPr>
        <w:t>08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853759">
        <w:rPr>
          <w:rFonts w:ascii="Garamond" w:eastAsia="Times New Roman" w:hAnsi="Garamond" w:cs="Times New Roman"/>
          <w:lang w:eastAsia="pl-PL"/>
        </w:rPr>
        <w:t>07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ORAZ UNIEWAŻNIENIU POSTEPOWANIA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853759">
        <w:rPr>
          <w:rFonts w:ascii="Garamond" w:eastAsia="Times New Roman" w:hAnsi="Garamond" w:cs="Times New Roman"/>
          <w:lang w:eastAsia="pl-PL"/>
        </w:rPr>
        <w:t>dostawę</w:t>
      </w:r>
      <w:r w:rsidR="00853759" w:rsidRPr="00853759">
        <w:rPr>
          <w:rFonts w:ascii="Garamond" w:eastAsia="Times New Roman" w:hAnsi="Garamond" w:cs="Times New Roman"/>
          <w:lang w:eastAsia="pl-PL"/>
        </w:rPr>
        <w:t xml:space="preserve"> odczynników laboratoryjnych dla Zakładu Diagnostyki Hematologicznej i Genetyki w Nowej Siedzibie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6C5BC5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6C5BC5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6C5BC5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6C5BC5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6C5BC5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6C5BC5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4C0D88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Symbios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Sp. z o.o., ul. Modrzewiowa 37, 83-010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Rotmanka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213 438,82 zł</w:t>
            </w:r>
          </w:p>
        </w:tc>
      </w:tr>
      <w:tr w:rsidR="004C0D88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Sp. z o.o., ul. Przyrodników 3, 80-297 Gdańsk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4 317,30 zł</w:t>
            </w:r>
          </w:p>
        </w:tc>
      </w:tr>
      <w:tr w:rsidR="004C0D88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C5BC5">
              <w:rPr>
                <w:rFonts w:ascii="Garamond" w:eastAsia="Calibri" w:hAnsi="Garamond" w:cs="Times New Roman"/>
                <w:color w:val="000000"/>
              </w:rPr>
              <w:t>QIAGEN Polska Sp. z o.o., ul. Powstańców Śląskich 95, 53-332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365 431,50 zł</w:t>
            </w:r>
          </w:p>
        </w:tc>
      </w:tr>
      <w:tr w:rsidR="004C0D88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C5BC5">
              <w:rPr>
                <w:rFonts w:ascii="Garamond" w:eastAsia="Calibri" w:hAnsi="Garamond" w:cs="Times New Roman"/>
                <w:color w:val="000000"/>
              </w:rPr>
              <w:t>DIAG-MED Grażyna Konecka, ul. Modularna 11A, bud. H3, 02-238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11 613,00 zł</w:t>
            </w:r>
          </w:p>
        </w:tc>
      </w:tr>
      <w:tr w:rsidR="004C0D88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88" w:rsidRPr="006C5BC5" w:rsidRDefault="004C0D88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C5BC5">
              <w:rPr>
                <w:rFonts w:ascii="Garamond" w:eastAsia="Calibri" w:hAnsi="Garamond" w:cs="Times New Roman"/>
                <w:color w:val="000000"/>
              </w:rPr>
              <w:t>IDALIA Ireneusz Wolak Sp. j., ul. Marii Fołtyn 10, 26-615 Radom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6C5BC5" w:rsidRDefault="004C0D88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25 940,71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Sp. z o.o., ul. Przyrodników 3, 80-297 Gdańsk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8 339,40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Biomedica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Poland Sp. z o.o., ul. Raszyńska 13, 05-500 Piaseczno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202 949,51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C5BC5">
              <w:rPr>
                <w:rFonts w:ascii="Garamond" w:eastAsia="Calibri" w:hAnsi="Garamond" w:cs="Times New Roman"/>
                <w:color w:val="000000"/>
              </w:rPr>
              <w:t xml:space="preserve">Roche Diagnostics Polska Sp. z o.o., ul.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Bobrowiecka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8 00-728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2 767,50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6C5BC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A&amp;A Biotechnology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  <w:lang w:val="en-US"/>
              </w:rPr>
              <w:t>s.c.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, al.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  <w:lang w:val="en-US"/>
              </w:rPr>
              <w:t>Zwycięstwa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96/98, 81-451 Gdynia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8 025,75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C5BC5">
              <w:rPr>
                <w:rFonts w:ascii="Garamond" w:eastAsia="Calibri" w:hAnsi="Garamond" w:cs="Times New Roman"/>
                <w:color w:val="000000"/>
              </w:rPr>
              <w:t>Biovigen Sp. z o.o., Tymienice 82a, 98-220 Zduńska Wola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178 130,70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KosLab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Paulina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Koszniec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>, ul. Ryżowa 43J m. 3, 02-495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172 638,00 zł</w:t>
            </w:r>
          </w:p>
        </w:tc>
      </w:tr>
      <w:tr w:rsidR="008369D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D5" w:rsidRPr="006C5BC5" w:rsidRDefault="008369D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Sysmex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Polska Sp. z o.o., Al. Jerozolimskie 176, 02-486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D5" w:rsidRPr="006C5BC5" w:rsidRDefault="008369D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270 216,00 zł</w:t>
            </w:r>
          </w:p>
        </w:tc>
      </w:tr>
      <w:tr w:rsidR="006C5BC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C5" w:rsidRPr="006C5BC5" w:rsidRDefault="006C5BC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BioMaxima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S.A., ul. </w:t>
            </w: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Vetterów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5, 20-277 Lublin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8369D5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145 368,00 zł</w:t>
            </w:r>
          </w:p>
        </w:tc>
      </w:tr>
      <w:tr w:rsidR="006C5BC5" w:rsidRPr="006C5BC5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C5" w:rsidRPr="006C5BC5" w:rsidRDefault="006C5BC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BC5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Times New Roman"/>
                <w:color w:val="000000"/>
              </w:rPr>
              <w:t>Bionicum</w:t>
            </w:r>
            <w:proofErr w:type="spellEnd"/>
            <w:r w:rsidRPr="006C5BC5">
              <w:rPr>
                <w:rFonts w:ascii="Garamond" w:eastAsia="Calibri" w:hAnsi="Garamond" w:cs="Times New Roman"/>
                <w:color w:val="000000"/>
              </w:rPr>
              <w:t xml:space="preserve"> Sp. z o.o., ul. Chełmska 21, 00-724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6C5BC5">
              <w:rPr>
                <w:rFonts w:ascii="Garamond" w:eastAsia="Calibri" w:hAnsi="Garamond" w:cs="Times New Roman"/>
              </w:rPr>
              <w:t>11 556,00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6C5BC5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6C5BC5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6C5BC5">
              <w:rPr>
                <w:rFonts w:ascii="Garamond" w:eastAsia="Times New Roman" w:hAnsi="Garamond" w:cs="Arial"/>
                <w:lang w:val="en-US" w:eastAsia="pl-PL"/>
              </w:rPr>
              <w:lastRenderedPageBreak/>
              <w:t xml:space="preserve">Nr </w:t>
            </w:r>
            <w:proofErr w:type="spellStart"/>
            <w:r w:rsidRPr="006C5BC5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6C5BC5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6C5BC5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6C5BC5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IDALIA Ireneusz Wolak Sp. j., ul. Marii Fołtyn 10, 26-615 Radom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8, 22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  <w:lang w:val="en-US"/>
              </w:rPr>
            </w:pPr>
            <w:r w:rsidRPr="006C5BC5">
              <w:rPr>
                <w:rFonts w:ascii="Garamond" w:eastAsia="Calibri" w:hAnsi="Garamond" w:cs="Arial"/>
                <w:color w:val="000000"/>
                <w:lang w:val="en-US"/>
              </w:rPr>
              <w:t xml:space="preserve">A&amp;A Biotechnology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  <w:lang w:val="en-US"/>
              </w:rPr>
              <w:t>s.c.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  <w:lang w:val="en-US"/>
              </w:rPr>
              <w:t xml:space="preserve">, al.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  <w:lang w:val="en-US"/>
              </w:rPr>
              <w:t>Zwycięstwa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  <w:lang w:val="en-US"/>
              </w:rPr>
              <w:t xml:space="preserve"> 96/98, 81-451 Gdynia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  <w:lang w:val="en-US"/>
              </w:rPr>
            </w:pPr>
            <w:r>
              <w:rPr>
                <w:rFonts w:ascii="Garamond" w:eastAsia="Calibri" w:hAnsi="Garamond" w:cs="Arial"/>
                <w:color w:val="000000"/>
                <w:lang w:val="en-US"/>
              </w:rPr>
              <w:t>16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Cytogen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Polska Sp. z o.o., ul. Ks. Stanisława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Suchowolca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6, 95-100 Zgierz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2, 20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 xml:space="preserve">Roche Diagnostics Polska Sp. z o.o., ul.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Bobrowiecka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8 00-728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9, 13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Copernicus Diagnostics Sp. z o.o., ul. Marszałkowska 26, 05-200 Wołomin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20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Perlan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Technologies Polska Sp. z o.o., ul. Puławska 303, 02-785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12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o.o., ul. Przyrodników 3, 80-297 Gdańsk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2, 7, 9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BioMaxima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S.A., ul.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Vetterów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5, 20-277 Lublin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25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Paweł Błachut CONSULT-MED., ul. Kasprowicza 5/3, 31-523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21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Sysmex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Polska Sp. z o.o., Al. Jerozolimskie 176, 02-486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19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KosLab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Paulina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Koszniec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>, ul. Ryżowa 43J m. 3, 02-495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18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DIAG-MED Grażyna Konecka, ul. Modularna 11A, bud. H3, 02-238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7, 20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Life Technologies Polska Sp. z o.o.., ul. Bonifraterska 17, 00-203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23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Bionicum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o.o., ul. Chełmska 21, 00-724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27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Bio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>-Rad Polska Sp. z o.o., ul. Przyokopowa 33, 01-208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11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Biomedica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Poland Sp. z o.o., ul. Raszyńska 13, 05-500 Piaseczno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10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Polgen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 Sp. k., ul. Puszkina 80, 92-516 Łódź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7, 13, 20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Biovigen Sp. z o.o., Tymienice 82a, 98-220 Zduńska Wola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AE7446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7, 17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19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Symbios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o.o., ul. Modrzewiowa 37, 83-010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Rotmanka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AE7446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1, 2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20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Diagnostica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a.s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>. S.A., ul. Duńska 9, 54-427 Wrocław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AE7446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26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21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r w:rsidRPr="006C5BC5">
              <w:rPr>
                <w:rFonts w:ascii="Garamond" w:eastAsia="Calibri" w:hAnsi="Garamond" w:cs="Arial"/>
                <w:color w:val="000000"/>
              </w:rPr>
              <w:t>QIAGEN Polska Sp. z o.o., ul. Powstańców Śląskich 95, 53-332 Wrocław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AE7446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2, 6, 9</w:t>
            </w:r>
          </w:p>
        </w:tc>
      </w:tr>
      <w:tr w:rsidR="006C5BC5" w:rsidRPr="006C5BC5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5BC5">
              <w:rPr>
                <w:rFonts w:ascii="Garamond" w:eastAsia="Times New Roman" w:hAnsi="Garamond" w:cs="Arial"/>
                <w:lang w:eastAsia="pl-PL"/>
              </w:rPr>
              <w:t>22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6C5BC5" w:rsidP="000A5513">
            <w:pPr>
              <w:widowControl w:val="0"/>
              <w:spacing w:after="0" w:line="240" w:lineRule="auto"/>
              <w:rPr>
                <w:rFonts w:ascii="Garamond" w:eastAsia="Calibri" w:hAnsi="Garamond" w:cs="Arial"/>
                <w:color w:val="000000"/>
              </w:rPr>
            </w:pP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Beckman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Coulter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Polska Sp. z o.o., Al. Jerozolimskie 181B, 02-222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5" w:rsidRPr="006C5BC5" w:rsidRDefault="00AE7446" w:rsidP="000A551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13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753BF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19</w:t>
            </w:r>
            <w:r w:rsidR="00796CDC">
              <w:rPr>
                <w:rFonts w:ascii="Garamond" w:eastAsia="Calibri" w:hAnsi="Garamond" w:cs="Times New Roman"/>
              </w:rPr>
              <w:t>:</w:t>
            </w:r>
            <w:r w:rsidR="00796CDC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53BF7">
              <w:rPr>
                <w:rFonts w:ascii="Garamond" w:eastAsia="Calibri" w:hAnsi="Garamond" w:cs="Times New Roman"/>
              </w:rPr>
              <w:t>Symbios</w:t>
            </w:r>
            <w:proofErr w:type="spellEnd"/>
            <w:r w:rsidRPr="00753BF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15385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CF2F5F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2F5F" w:rsidRDefault="00CF2F5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7: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F" w:rsidRPr="00117E1B" w:rsidRDefault="00CF2F5F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F" w:rsidRPr="00117E1B" w:rsidRDefault="00CF2F5F" w:rsidP="000C678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19:</w:t>
            </w:r>
            <w:r w:rsidRPr="00753BF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753BF7">
              <w:rPr>
                <w:rFonts w:ascii="Garamond" w:eastAsia="Calibri" w:hAnsi="Garamond" w:cs="Times New Roman"/>
              </w:rPr>
              <w:t>Symbios</w:t>
            </w:r>
            <w:proofErr w:type="spellEnd"/>
            <w:r w:rsidRPr="00753BF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Default="000C678D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49,44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Default="000C678D" w:rsidP="000C678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49,44</w:t>
            </w:r>
          </w:p>
        </w:tc>
      </w:tr>
      <w:tr w:rsidR="00753BF7" w:rsidRPr="00117E1B" w:rsidTr="00AF6CA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bookmarkStart w:id="0" w:name="_GoBack"/>
            <w:bookmarkEnd w:id="0"/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21: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QIAGEN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46553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753B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0C678D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0C678D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40,61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r w:rsidRPr="000C678D">
              <w:rPr>
                <w:rFonts w:ascii="Garamond" w:eastAsia="Calibri" w:hAnsi="Garamond" w:cs="Arial"/>
                <w:color w:val="000000"/>
              </w:rPr>
              <w:t>DIAG-MED Grażyna Konecka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0D45A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r w:rsidRPr="000C678D">
              <w:rPr>
                <w:rFonts w:ascii="Garamond" w:eastAsia="Calibri" w:hAnsi="Garamond" w:cs="Arial"/>
                <w:color w:val="000000"/>
              </w:rPr>
              <w:t>IDALIA Ireneusz Wolak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39727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29530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r w:rsidRPr="000C678D">
              <w:rPr>
                <w:rFonts w:ascii="Garamond" w:eastAsia="Calibri" w:hAnsi="Garamond" w:cs="Arial"/>
                <w:color w:val="000000"/>
              </w:rPr>
              <w:t>Roche Diagnostics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987E40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12,70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987E40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12,70</w:t>
            </w:r>
          </w:p>
        </w:tc>
      </w:tr>
      <w:tr w:rsidR="000C678D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678D" w:rsidRDefault="000C678D" w:rsidP="0029530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EURx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117E1B" w:rsidRDefault="000C678D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Default="000C678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0C678D">
              <w:rPr>
                <w:rFonts w:ascii="Garamond" w:eastAsia="Calibri" w:hAnsi="Garamond" w:cs="Times New Roman"/>
              </w:rPr>
              <w:t>Oferta 21: QIAGEN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987E40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35,87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987E40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35,87</w:t>
            </w:r>
          </w:p>
        </w:tc>
      </w:tr>
      <w:tr w:rsidR="00753BF7" w:rsidRPr="00117E1B" w:rsidTr="00FE57BD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987E40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87E40" w:rsidRDefault="00987E40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16:</w:t>
            </w:r>
            <w:r w:rsidRPr="006C5BC5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987E40">
              <w:rPr>
                <w:rFonts w:ascii="Garamond" w:eastAsia="Calibri" w:hAnsi="Garamond" w:cs="Arial"/>
                <w:color w:val="000000"/>
              </w:rPr>
              <w:t>Biomedica</w:t>
            </w:r>
            <w:proofErr w:type="spellEnd"/>
            <w:r w:rsidRPr="00987E40">
              <w:rPr>
                <w:rFonts w:ascii="Garamond" w:eastAsia="Calibri" w:hAnsi="Garamond" w:cs="Arial"/>
                <w:color w:val="000000"/>
              </w:rPr>
              <w:t xml:space="preserve"> Poland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0" w:rsidRPr="00117E1B" w:rsidRDefault="00987E40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0" w:rsidRPr="00117E1B" w:rsidRDefault="00987E40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3559C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7D44A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D44A1">
              <w:rPr>
                <w:rFonts w:ascii="Garamond" w:eastAsia="Calibri" w:hAnsi="Garamond" w:cs="Times New Roman"/>
              </w:rPr>
              <w:t>Oferta 4: Roche Diagnostics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Default="007D44A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22</w:t>
            </w:r>
            <w:r w:rsidRPr="007D44A1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7D44A1">
              <w:rPr>
                <w:rFonts w:ascii="Garamond" w:eastAsia="Calibri" w:hAnsi="Garamond" w:cs="Times New Roman"/>
              </w:rPr>
              <w:t>Beckman</w:t>
            </w:r>
            <w:proofErr w:type="spellEnd"/>
            <w:r w:rsidRPr="007D44A1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7D44A1">
              <w:rPr>
                <w:rFonts w:ascii="Garamond" w:eastAsia="Calibri" w:hAnsi="Garamond" w:cs="Times New Roman"/>
              </w:rPr>
              <w:t>Coulter</w:t>
            </w:r>
            <w:proofErr w:type="spellEnd"/>
            <w:r w:rsidRPr="007D44A1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7D44A1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67,41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7" w:rsidRDefault="007D44A1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67,41</w:t>
            </w:r>
          </w:p>
        </w:tc>
      </w:tr>
      <w:tr w:rsidR="00753BF7" w:rsidRPr="00117E1B" w:rsidTr="006B3772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16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7D44A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Pr="007D44A1">
              <w:rPr>
                <w:rFonts w:ascii="Garamond" w:eastAsia="Calibri" w:hAnsi="Garamond" w:cs="Times New Roman"/>
              </w:rPr>
              <w:t xml:space="preserve">: A&amp;A </w:t>
            </w:r>
            <w:proofErr w:type="spellStart"/>
            <w:r w:rsidRPr="007D44A1">
              <w:rPr>
                <w:rFonts w:ascii="Garamond" w:eastAsia="Calibri" w:hAnsi="Garamond" w:cs="Times New Roman"/>
              </w:rPr>
              <w:t>Biotechnology</w:t>
            </w:r>
            <w:proofErr w:type="spellEnd"/>
            <w:r w:rsidRPr="007D44A1">
              <w:rPr>
                <w:rFonts w:ascii="Garamond" w:eastAsia="Calibri" w:hAnsi="Garamond" w:cs="Times New Roman"/>
              </w:rPr>
              <w:t xml:space="preserve"> s.c.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1872C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7D44A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18</w:t>
            </w:r>
            <w:r w:rsidRPr="007D44A1">
              <w:rPr>
                <w:rFonts w:ascii="Garamond" w:eastAsia="Calibri" w:hAnsi="Garamond" w:cs="Times New Roman"/>
              </w:rPr>
              <w:t xml:space="preserve">: </w:t>
            </w:r>
            <w:r w:rsidR="00E00A2F" w:rsidRPr="00E00A2F">
              <w:rPr>
                <w:rFonts w:ascii="Garamond" w:eastAsia="Calibri" w:hAnsi="Garamond" w:cs="Times New Roman"/>
              </w:rPr>
              <w:t>Biovigen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6E3B5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E00A2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</w:t>
            </w:r>
            <w:r w:rsidR="007D44A1" w:rsidRPr="007D44A1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E00A2F">
              <w:rPr>
                <w:rFonts w:ascii="Garamond" w:eastAsia="Calibri" w:hAnsi="Garamond" w:cs="Times New Roman"/>
              </w:rPr>
              <w:t>KosLab</w:t>
            </w:r>
            <w:proofErr w:type="spellEnd"/>
            <w:r w:rsidRPr="00E00A2F">
              <w:rPr>
                <w:rFonts w:ascii="Garamond" w:eastAsia="Calibri" w:hAnsi="Garamond" w:cs="Times New Roman"/>
              </w:rPr>
              <w:t xml:space="preserve"> Paulina </w:t>
            </w:r>
            <w:proofErr w:type="spellStart"/>
            <w:r w:rsidRPr="00E00A2F">
              <w:rPr>
                <w:rFonts w:ascii="Garamond" w:eastAsia="Calibri" w:hAnsi="Garamond" w:cs="Times New Roman"/>
              </w:rPr>
              <w:t>Koszniec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3317F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19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E00A2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</w:t>
            </w:r>
            <w:r w:rsidR="007D44A1" w:rsidRPr="007D44A1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E00A2F">
              <w:rPr>
                <w:rFonts w:ascii="Garamond" w:eastAsia="Calibri" w:hAnsi="Garamond" w:cs="Times New Roman"/>
              </w:rPr>
              <w:t>Sysmex</w:t>
            </w:r>
            <w:proofErr w:type="spellEnd"/>
            <w:r w:rsidRPr="00E00A2F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AE722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25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E00A2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8</w:t>
            </w:r>
            <w:r w:rsidR="007D44A1" w:rsidRPr="007D44A1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6C5BC5">
              <w:rPr>
                <w:rFonts w:ascii="Garamond" w:eastAsia="Calibri" w:hAnsi="Garamond" w:cs="Arial"/>
                <w:color w:val="000000"/>
              </w:rPr>
              <w:t>BioMaxima</w:t>
            </w:r>
            <w:proofErr w:type="spellEnd"/>
            <w:r w:rsidRPr="006C5BC5">
              <w:rPr>
                <w:rFonts w:ascii="Garamond" w:eastAsia="Calibri" w:hAnsi="Garamond" w:cs="Arial"/>
                <w:color w:val="000000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53BF7" w:rsidRPr="00117E1B" w:rsidTr="00A2294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3BF7" w:rsidRPr="00117E1B" w:rsidRDefault="00753BF7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27</w:t>
            </w:r>
          </w:p>
        </w:tc>
      </w:tr>
      <w:tr w:rsidR="007D44A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44A1" w:rsidRDefault="007D44A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D44A1">
              <w:rPr>
                <w:rFonts w:ascii="Garamond" w:eastAsia="Calibri" w:hAnsi="Garamond" w:cs="Times New Roman"/>
              </w:rPr>
              <w:t xml:space="preserve">Oferta </w:t>
            </w:r>
            <w:r w:rsidR="00E00A2F">
              <w:rPr>
                <w:rFonts w:ascii="Garamond" w:eastAsia="Calibri" w:hAnsi="Garamond" w:cs="Times New Roman"/>
              </w:rPr>
              <w:t>1</w:t>
            </w:r>
            <w:r w:rsidRPr="007D44A1">
              <w:rPr>
                <w:rFonts w:ascii="Garamond" w:eastAsia="Calibri" w:hAnsi="Garamond" w:cs="Times New Roman"/>
              </w:rPr>
              <w:t xml:space="preserve">4: </w:t>
            </w:r>
            <w:proofErr w:type="spellStart"/>
            <w:r w:rsidR="00E00A2F" w:rsidRPr="00E00A2F">
              <w:rPr>
                <w:rFonts w:ascii="Garamond" w:eastAsia="Calibri" w:hAnsi="Garamond" w:cs="Times New Roman"/>
              </w:rPr>
              <w:t>Bionicum</w:t>
            </w:r>
            <w:proofErr w:type="spellEnd"/>
            <w:r w:rsidR="00E00A2F" w:rsidRPr="00E00A2F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1" w:rsidRPr="00117E1B" w:rsidRDefault="007D44A1" w:rsidP="002953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117E1B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53BF7">
        <w:rPr>
          <w:rFonts w:ascii="Garamond" w:eastAsia="Times New Roman" w:hAnsi="Garamond" w:cs="Times New Roman"/>
          <w:lang w:eastAsia="pl-PL"/>
        </w:rPr>
        <w:t>4. Z udziału w postępow</w:t>
      </w:r>
      <w:r w:rsidR="00B62F84">
        <w:rPr>
          <w:rFonts w:ascii="Garamond" w:eastAsia="Times New Roman" w:hAnsi="Garamond" w:cs="Times New Roman"/>
          <w:lang w:eastAsia="pl-PL"/>
        </w:rPr>
        <w:t>aniu o udzielenie zamówienia</w:t>
      </w:r>
      <w:r w:rsidRPr="00753BF7">
        <w:rPr>
          <w:rFonts w:ascii="Garamond" w:eastAsia="Times New Roman" w:hAnsi="Garamond" w:cs="Times New Roman"/>
          <w:lang w:eastAsia="pl-PL"/>
        </w:rPr>
        <w:t xml:space="preserve"> wykluczono </w:t>
      </w:r>
      <w:r w:rsidR="00B62F84">
        <w:rPr>
          <w:rFonts w:ascii="Garamond" w:eastAsia="Times New Roman" w:hAnsi="Garamond" w:cs="Times New Roman"/>
          <w:lang w:eastAsia="pl-PL"/>
        </w:rPr>
        <w:t>następującego wykonawcę:</w:t>
      </w:r>
    </w:p>
    <w:p w:rsidR="00B62F84" w:rsidRDefault="00B62F8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005808" w:rsidRPr="00107C54" w:rsidTr="000718AB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05808" w:rsidRPr="00107C54" w:rsidRDefault="00005808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5808" w:rsidRPr="00107C54" w:rsidRDefault="00005808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005808">
              <w:rPr>
                <w:rFonts w:ascii="Garamond" w:eastAsia="Calibri" w:hAnsi="Garamond" w:cs="Times New Roman"/>
              </w:rPr>
              <w:t>Bio</w:t>
            </w:r>
            <w:proofErr w:type="spellEnd"/>
            <w:r w:rsidRPr="00005808">
              <w:rPr>
                <w:rFonts w:ascii="Garamond" w:eastAsia="Calibri" w:hAnsi="Garamond" w:cs="Times New Roman"/>
              </w:rPr>
              <w:t>-Rad Polska Sp. z o.o., ul. Przyokopowa 33, 01-208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808" w:rsidRPr="00107C54" w:rsidRDefault="00005808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11</w:t>
            </w:r>
          </w:p>
        </w:tc>
      </w:tr>
    </w:tbl>
    <w:p w:rsidR="00B62F84" w:rsidRDefault="00B62F8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3152A" w:rsidRPr="0083152A" w:rsidRDefault="0083152A" w:rsidP="0083152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83152A">
        <w:rPr>
          <w:rFonts w:ascii="Garamond" w:eastAsia="Times New Roman" w:hAnsi="Garamond" w:cs="Times New Roman"/>
          <w:bCs/>
          <w:lang w:eastAsia="pl-PL"/>
        </w:rPr>
        <w:t xml:space="preserve">Uzasadnienie prawne: art. 24 ust. 1 pkt. 12 ustawy Prawo zamówień publicznych. </w:t>
      </w:r>
    </w:p>
    <w:p w:rsidR="0083152A" w:rsidRDefault="0083152A" w:rsidP="0083152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3152A">
        <w:rPr>
          <w:rFonts w:ascii="Garamond" w:eastAsia="Times New Roman" w:hAnsi="Garamond" w:cs="Times New Roman"/>
          <w:bCs/>
          <w:lang w:eastAsia="pl-PL"/>
        </w:rPr>
        <w:t xml:space="preserve">Uzasadnienie faktyczne: Wykonawca nie wykazał braku podstaw wykluczenia. </w:t>
      </w:r>
      <w:r>
        <w:rPr>
          <w:rFonts w:ascii="Garamond" w:eastAsia="Times New Roman" w:hAnsi="Garamond" w:cs="Times New Roman"/>
          <w:bCs/>
          <w:lang w:eastAsia="pl-PL"/>
        </w:rPr>
        <w:t>Zgodnie z pkt 6.5.3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specyfikacji Wykonawca zobowiązany </w:t>
      </w:r>
      <w:r>
        <w:rPr>
          <w:rFonts w:ascii="Garamond" w:eastAsia="Times New Roman" w:hAnsi="Garamond" w:cs="Times New Roman"/>
          <w:bCs/>
          <w:lang w:eastAsia="pl-PL"/>
        </w:rPr>
        <w:t xml:space="preserve">był do przedstawienia </w:t>
      </w:r>
      <w:r w:rsidRPr="0083152A">
        <w:rPr>
          <w:rFonts w:ascii="Garamond" w:eastAsia="Times New Roman" w:hAnsi="Garamond" w:cs="Times New Roman"/>
          <w:bCs/>
          <w:lang w:eastAsia="pl-PL"/>
        </w:rPr>
        <w:t>zaświadczenia właściwego naczelnika urzędu skarbowego potwierdzającego, że wykonawca nie zalega z opłacaniem podatków</w:t>
      </w:r>
      <w:r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lub innego dokumentu potwierdzającego, że wykonawca zawarł porozumienie z właściwym organem </w:t>
      </w:r>
      <w:r w:rsidRPr="0083152A">
        <w:rPr>
          <w:rFonts w:ascii="Garamond" w:eastAsia="Times New Roman" w:hAnsi="Garamond" w:cs="Times New Roman"/>
          <w:bCs/>
          <w:lang w:eastAsia="pl-PL"/>
        </w:rPr>
        <w:lastRenderedPageBreak/>
        <w:t>podatkowym w sprawie spłat tych należności wraz z ewentualnymi odsetkami lub grzywnami, w szczególności uzyskał przewidziane prawem zwolnienie, odroczenie lub rozłożenie na raty zaległych płatności lub wstrzymanie w całości wykonania decyzji właściwego organu. W odpowiedzi na w</w:t>
      </w:r>
      <w:r>
        <w:rPr>
          <w:rFonts w:ascii="Garamond" w:eastAsia="Times New Roman" w:hAnsi="Garamond" w:cs="Times New Roman"/>
          <w:bCs/>
          <w:lang w:eastAsia="pl-PL"/>
        </w:rPr>
        <w:t>ezwanie Zamawiającego (z dnia 14.05.2020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r.) do złożenia dokumentów</w:t>
      </w:r>
      <w:r>
        <w:rPr>
          <w:rFonts w:ascii="Garamond" w:eastAsia="Times New Roman" w:hAnsi="Garamond" w:cs="Times New Roman"/>
          <w:bCs/>
          <w:lang w:eastAsia="pl-PL"/>
        </w:rPr>
        <w:t>, w tym niniejszego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lang w:eastAsia="pl-PL"/>
        </w:rPr>
        <w:t>zaświadczenia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z pkt 6.5.3 specyfikacji, Wykonawc</w:t>
      </w:r>
      <w:r>
        <w:rPr>
          <w:rFonts w:ascii="Garamond" w:eastAsia="Times New Roman" w:hAnsi="Garamond" w:cs="Times New Roman"/>
          <w:bCs/>
          <w:lang w:eastAsia="pl-PL"/>
        </w:rPr>
        <w:t>a nie przedstawił przedmiotowego</w:t>
      </w:r>
      <w:r w:rsidRPr="0083152A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lang w:eastAsia="pl-PL"/>
        </w:rPr>
        <w:t>dokumentu</w:t>
      </w:r>
      <w:r w:rsidRPr="0083152A">
        <w:rPr>
          <w:rFonts w:ascii="Garamond" w:eastAsia="Times New Roman" w:hAnsi="Garamond" w:cs="Times New Roman"/>
          <w:bCs/>
          <w:iCs/>
          <w:lang w:eastAsia="pl-PL"/>
        </w:rPr>
        <w:t>.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Pr="0083152A">
        <w:rPr>
          <w:rFonts w:ascii="Garamond" w:eastAsia="Times New Roman" w:hAnsi="Garamond" w:cs="Times New Roman"/>
          <w:bCs/>
          <w:iCs/>
          <w:lang w:eastAsia="pl-PL"/>
        </w:rPr>
        <w:t xml:space="preserve">Przedstawiono natomiast oświadczenie wykonawcy pt. „Oświadczenie o niezaleganiu w podatkach”. Zamawiający zakłada, iż niniejsze oświadczenie miało wywołać skutek, o którym mowa w </w:t>
      </w:r>
      <w:r w:rsidRPr="00B33D42">
        <w:rPr>
          <w:rFonts w:ascii="Garamond" w:eastAsia="Times New Roman" w:hAnsi="Garamond" w:cs="Times New Roman"/>
          <w:bCs/>
          <w:iCs/>
          <w:lang w:eastAsia="pl-PL"/>
        </w:rPr>
        <w:t>prezentowanej przez Urząd Zamówień Publicznych opinii pt. „Brak możliwości uzyskania dokumentu dotyczącego podstaw wykluczenia z postępowania o udzielenie zamówienia publicznego w związku z okolicznościami wywołanymi epidemią COVID-19” (</w:t>
      </w:r>
      <w:hyperlink r:id="rId10" w:history="1">
        <w:r w:rsidRPr="00B33D42">
          <w:rPr>
            <w:rStyle w:val="Hipercze"/>
            <w:rFonts w:ascii="Garamond" w:eastAsia="Times New Roman" w:hAnsi="Garamond" w:cs="Times New Roman"/>
            <w:bCs/>
            <w:iCs/>
            <w:color w:val="auto"/>
            <w:u w:val="none"/>
            <w:lang w:eastAsia="pl-PL"/>
          </w:rPr>
          <w:t>https://www.uzp.gov.pl/strona-glowna/slider-aktualnosci/brak-mozliwosci-uzyskania-dokumentu-dotyczacego-podstaw-wykluczenia-z-postepowania-o-udzielenie-zamowienia-publicznego-w-zwiazku-z-okolicznosciami-wywolanymi-epidemia-covid-19/brak-mozliwosci-uzyskania-dokumentu-dotyczacego-podstaw-wykluczenia-z-postepowania-o-udzielenie-zamowienia-publicznego-w-zwiazku-z-okolicznosciami-wywolanymi-epidemia-covid-19</w:t>
        </w:r>
      </w:hyperlink>
      <w:r w:rsidRPr="00B33D42">
        <w:rPr>
          <w:rFonts w:ascii="Garamond" w:eastAsia="Times New Roman" w:hAnsi="Garamond" w:cs="Times New Roman"/>
          <w:bCs/>
          <w:iCs/>
          <w:lang w:eastAsia="pl-PL"/>
        </w:rPr>
        <w:t>). Oświadczeniem</w:t>
      </w:r>
      <w:r w:rsidR="00B33D42">
        <w:rPr>
          <w:rFonts w:ascii="Garamond" w:eastAsia="Times New Roman" w:hAnsi="Garamond" w:cs="Times New Roman"/>
          <w:bCs/>
          <w:iCs/>
          <w:lang w:eastAsia="pl-PL"/>
        </w:rPr>
        <w:t xml:space="preserve"> tym – zastępującym dokument (w tej sytuacji </w:t>
      </w:r>
      <w:r w:rsidRPr="00B33D42">
        <w:rPr>
          <w:rFonts w:ascii="Garamond" w:eastAsia="Times New Roman" w:hAnsi="Garamond" w:cs="Times New Roman"/>
          <w:bCs/>
          <w:iCs/>
          <w:lang w:eastAsia="pl-PL"/>
        </w:rPr>
        <w:t xml:space="preserve">zaświadczenie o niezaleganiu w podatkach) mogłoby być, na zasadzie analogi z § 7 ust. 3 rozporządzenia </w:t>
      </w:r>
      <w:proofErr w:type="spellStart"/>
      <w:r w:rsidRPr="00B33D42">
        <w:rPr>
          <w:rFonts w:ascii="Garamond" w:eastAsia="Times New Roman" w:hAnsi="Garamond" w:cs="Times New Roman"/>
          <w:bCs/>
          <w:iCs/>
          <w:lang w:eastAsia="pl-PL"/>
        </w:rPr>
        <w:t>ws</w:t>
      </w:r>
      <w:proofErr w:type="spellEnd"/>
      <w:r w:rsidRPr="00B33D42">
        <w:rPr>
          <w:rFonts w:ascii="Garamond" w:eastAsia="Times New Roman" w:hAnsi="Garamond" w:cs="Times New Roman"/>
          <w:bCs/>
          <w:iCs/>
          <w:lang w:eastAsia="pl-PL"/>
        </w:rPr>
        <w:t xml:space="preserve">. dokumentów, oświadczenie wykonawcy przed notariuszem (lub innym, wskazanym w przepisie, organem). A dodatkowo zgodnie z powyższą informacją Urzędu Zamówień Publicznych muszą </w:t>
      </w:r>
      <w:r w:rsidRPr="0083152A">
        <w:rPr>
          <w:rFonts w:ascii="Garamond" w:eastAsia="Times New Roman" w:hAnsi="Garamond" w:cs="Times New Roman"/>
          <w:bCs/>
          <w:iCs/>
          <w:lang w:eastAsia="pl-PL"/>
        </w:rPr>
        <w:t xml:space="preserve">zaistnieć okoliczności skutkujące obiektywnie brakiem możliwości uzyskania wymaganego dokumentu. Przedstawione przez </w:t>
      </w:r>
      <w:r w:rsidR="007C0C7B">
        <w:rPr>
          <w:rFonts w:ascii="Garamond" w:eastAsia="Times New Roman" w:hAnsi="Garamond" w:cs="Times New Roman"/>
          <w:bCs/>
          <w:iCs/>
          <w:lang w:eastAsia="pl-PL"/>
        </w:rPr>
        <w:t>Wykonawcę</w:t>
      </w:r>
      <w:r w:rsidRPr="0083152A">
        <w:rPr>
          <w:rFonts w:ascii="Garamond" w:eastAsia="Times New Roman" w:hAnsi="Garamond" w:cs="Times New Roman"/>
          <w:bCs/>
          <w:iCs/>
          <w:lang w:eastAsia="pl-PL"/>
        </w:rPr>
        <w:t xml:space="preserve"> oświadczenie nie jest oświadczeniem złożonym przed notariuszem (nie zostało złożone przed notariuszem). Jest ono jedynie odpisem oświadczenia Wykonawcy, którego zgodność z oryginałem poświadczył notariusz. Oprócz tego nie wykazane zostały przez </w:t>
      </w:r>
      <w:r w:rsidR="00B33D42">
        <w:rPr>
          <w:rFonts w:ascii="Garamond" w:eastAsia="Times New Roman" w:hAnsi="Garamond" w:cs="Times New Roman"/>
          <w:bCs/>
          <w:iCs/>
          <w:lang w:eastAsia="pl-PL"/>
        </w:rPr>
        <w:t>Wykonawcę</w:t>
      </w:r>
      <w:r w:rsidRPr="0083152A">
        <w:rPr>
          <w:rFonts w:ascii="Garamond" w:eastAsia="Times New Roman" w:hAnsi="Garamond" w:cs="Times New Roman"/>
          <w:bCs/>
          <w:iCs/>
          <w:lang w:eastAsia="pl-PL"/>
        </w:rPr>
        <w:t xml:space="preserve"> okoliczności skutkujące obiektywnie brakiem możliwości uzyskania przedmiotowego dokumentu. Przedstawiono jedynie wniosek z dnia 14.04.2020 r. o wydanie zaświadczenia, co nie jest równoznaczne z czynnikami, które obiektywnie uniemożliwiły pozyskanie zaświadczenia.</w:t>
      </w:r>
      <w:r w:rsidR="00B33D42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</w:p>
    <w:p w:rsidR="00B33D42" w:rsidRPr="0083152A" w:rsidRDefault="00B33D42" w:rsidP="0083152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 xml:space="preserve">W związku z powyższym pismem z dnia 29.05.2020 r. Zamawiający wezwał do uzupełnienia przedmiotowych </w:t>
      </w:r>
      <w:r w:rsidRPr="00B33D42">
        <w:rPr>
          <w:rFonts w:ascii="Garamond" w:eastAsia="Times New Roman" w:hAnsi="Garamond" w:cs="Times New Roman"/>
          <w:bCs/>
          <w:iCs/>
          <w:lang w:eastAsia="pl-PL"/>
        </w:rPr>
        <w:t>dokumentów, o których mowa w punkcie 6.5.3 specyfikacji</w:t>
      </w:r>
      <w:r>
        <w:rPr>
          <w:rFonts w:ascii="Garamond" w:eastAsia="Times New Roman" w:hAnsi="Garamond" w:cs="Times New Roman"/>
          <w:bCs/>
          <w:iCs/>
          <w:lang w:eastAsia="pl-PL"/>
        </w:rPr>
        <w:t>. W wyznaczonym na uzupełnienie terminie tj. do dnia 04.06.2020, a następnie do dnia 12.06.2020 r. (termin uzupełnienia był wydłużany na prośbę Wykonawcy) przedmiotowe dokumenty</w:t>
      </w:r>
      <w:r w:rsidR="007C0C7B">
        <w:rPr>
          <w:rFonts w:ascii="Garamond" w:eastAsia="Times New Roman" w:hAnsi="Garamond" w:cs="Times New Roman"/>
          <w:bCs/>
          <w:iCs/>
          <w:lang w:eastAsia="pl-PL"/>
        </w:rPr>
        <w:t>,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mające potwierdzać brak podstaw wykluczenia</w:t>
      </w:r>
      <w:r w:rsidR="007C0C7B">
        <w:rPr>
          <w:rFonts w:ascii="Garamond" w:eastAsia="Times New Roman" w:hAnsi="Garamond" w:cs="Times New Roman"/>
          <w:bCs/>
          <w:iCs/>
          <w:lang w:eastAsia="pl-PL"/>
        </w:rPr>
        <w:t>,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nie zostały przedłożone</w:t>
      </w:r>
      <w:r w:rsidR="00827CA7">
        <w:rPr>
          <w:rFonts w:ascii="Garamond" w:eastAsia="Times New Roman" w:hAnsi="Garamond" w:cs="Times New Roman"/>
          <w:bCs/>
          <w:iCs/>
          <w:lang w:eastAsia="pl-PL"/>
        </w:rPr>
        <w:t xml:space="preserve"> w terminie na uzupełnienie</w:t>
      </w:r>
      <w:r w:rsidR="007C0C7B">
        <w:rPr>
          <w:rFonts w:ascii="Garamond" w:eastAsia="Times New Roman" w:hAnsi="Garamond" w:cs="Times New Roman"/>
          <w:bCs/>
          <w:iCs/>
          <w:lang w:eastAsia="pl-PL"/>
        </w:rPr>
        <w:t xml:space="preserve">. Wykonawca przedłożył zaświadczenie naczelnika urzędu skarbowego dnia 02.07.2020 r. a zatem po wyznaczonym terminie na uzupełnienie. Dlatego też Wykonawca </w:t>
      </w:r>
      <w:r w:rsidR="007C0C7B" w:rsidRPr="007C0C7B">
        <w:rPr>
          <w:rFonts w:ascii="Garamond" w:eastAsia="Times New Roman" w:hAnsi="Garamond" w:cs="Times New Roman"/>
          <w:bCs/>
          <w:iCs/>
          <w:lang w:eastAsia="pl-PL"/>
        </w:rPr>
        <w:t>nie wykazał braku podstaw wykluczenia</w:t>
      </w:r>
      <w:r w:rsidR="007C0C7B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B62F84" w:rsidRPr="00753BF7" w:rsidRDefault="00B62F8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753BF7" w:rsidRDefault="007C0C7B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*</w:t>
      </w:r>
      <w:r w:rsidR="00E006C3" w:rsidRPr="00753BF7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117E1B" w:rsidRPr="00753BF7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53BF7">
        <w:rPr>
          <w:rFonts w:ascii="Garamond" w:eastAsia="Times New Roman" w:hAnsi="Garamond" w:cs="Times New Roman"/>
          <w:lang w:eastAsia="pl-PL"/>
        </w:rPr>
        <w:t>5. W postępowaniu</w:t>
      </w:r>
      <w:r w:rsidR="00117E1B" w:rsidRPr="00753BF7">
        <w:rPr>
          <w:rFonts w:ascii="Garamond" w:eastAsia="Times New Roman" w:hAnsi="Garamond" w:cs="Times New Roman"/>
          <w:lang w:eastAsia="pl-PL"/>
        </w:rPr>
        <w:t xml:space="preserve"> odrzucono </w:t>
      </w:r>
      <w:r w:rsidR="00B62F84">
        <w:rPr>
          <w:rFonts w:ascii="Garamond" w:eastAsia="Times New Roman" w:hAnsi="Garamond" w:cs="Times New Roman"/>
          <w:lang w:eastAsia="pl-PL"/>
        </w:rPr>
        <w:t>następujące</w:t>
      </w:r>
      <w:r w:rsidR="00117E1B" w:rsidRPr="00753BF7">
        <w:rPr>
          <w:rFonts w:ascii="Garamond" w:eastAsia="Times New Roman" w:hAnsi="Garamond" w:cs="Times New Roman"/>
          <w:lang w:eastAsia="pl-PL"/>
        </w:rPr>
        <w:t xml:space="preserve"> o</w:t>
      </w:r>
      <w:r w:rsidR="00B62F84">
        <w:rPr>
          <w:rFonts w:ascii="Garamond" w:eastAsia="Times New Roman" w:hAnsi="Garamond" w:cs="Times New Roman"/>
          <w:lang w:eastAsia="pl-PL"/>
        </w:rPr>
        <w:t>ferty:</w:t>
      </w:r>
    </w:p>
    <w:p w:rsidR="00B62F84" w:rsidRDefault="00B62F8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107C54" w:rsidRPr="00107C54" w:rsidTr="000718AB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07C54" w:rsidRPr="00107C54" w:rsidRDefault="00107C54" w:rsidP="00107C54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07C54">
              <w:rPr>
                <w:rFonts w:ascii="Garamond" w:eastAsia="Calibri" w:hAnsi="Garamond" w:cs="Times New Roman"/>
              </w:rPr>
              <w:t>Oferta nr 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54" w:rsidRPr="00107C54" w:rsidRDefault="00107C54" w:rsidP="00107C54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107C54">
              <w:rPr>
                <w:rFonts w:ascii="Garamond" w:eastAsia="Calibri" w:hAnsi="Garamond" w:cs="Times New Roman"/>
              </w:rPr>
              <w:t>Cytogen</w:t>
            </w:r>
            <w:proofErr w:type="spellEnd"/>
            <w:r w:rsidRPr="00107C54">
              <w:rPr>
                <w:rFonts w:ascii="Garamond" w:eastAsia="Calibri" w:hAnsi="Garamond" w:cs="Times New Roman"/>
              </w:rPr>
              <w:t xml:space="preserve"> Polska Sp. z o.o., ul. Ks. Stanisława </w:t>
            </w:r>
            <w:proofErr w:type="spellStart"/>
            <w:r w:rsidRPr="00107C54">
              <w:rPr>
                <w:rFonts w:ascii="Garamond" w:eastAsia="Calibri" w:hAnsi="Garamond" w:cs="Times New Roman"/>
              </w:rPr>
              <w:t>Suchowolca</w:t>
            </w:r>
            <w:proofErr w:type="spellEnd"/>
            <w:r w:rsidRPr="00107C54">
              <w:rPr>
                <w:rFonts w:ascii="Garamond" w:eastAsia="Calibri" w:hAnsi="Garamond" w:cs="Times New Roman"/>
              </w:rPr>
              <w:t xml:space="preserve"> 6, 95-100 Zgierz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C54" w:rsidRPr="00107C54" w:rsidRDefault="00107C54" w:rsidP="00107C54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2, 20</w:t>
            </w:r>
          </w:p>
        </w:tc>
      </w:tr>
    </w:tbl>
    <w:p w:rsidR="00B62F84" w:rsidRDefault="00B62F8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07C54" w:rsidRPr="00107C54" w:rsidRDefault="00107C54" w:rsidP="00107C5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07C54">
        <w:rPr>
          <w:rFonts w:ascii="Garamond" w:eastAsia="Times New Roman" w:hAnsi="Garamond" w:cs="Times New Roman"/>
          <w:lang w:eastAsia="pl-PL"/>
        </w:rPr>
        <w:t>Uzasadnienie prawne: art. 89 ust. 1 pkt 2 ustawy Prawo zamówień publicznych.</w:t>
      </w:r>
    </w:p>
    <w:p w:rsidR="00107C54" w:rsidRDefault="00107C54" w:rsidP="00107C5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07C54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 Zgodnie z pkt. 10.2.2 specyfikacji Wykonawca zobowiązany był złożyć wypełniony i podpisany przez osoby upoważnione do reprezentowania wykonawcy arkusz cenowy, sporządzony według wzoru stanowiącego załącznik nr 1a do specyfikacji. Wykonawca nie załączył do oferty arkusza cenowe</w:t>
      </w:r>
      <w:r>
        <w:rPr>
          <w:rFonts w:ascii="Garamond" w:eastAsia="Times New Roman" w:hAnsi="Garamond" w:cs="Times New Roman"/>
          <w:lang w:eastAsia="pl-PL"/>
        </w:rPr>
        <w:t>go dla części 2 i 20</w:t>
      </w:r>
      <w:r w:rsidRPr="00107C54">
        <w:rPr>
          <w:rFonts w:ascii="Garamond" w:eastAsia="Times New Roman" w:hAnsi="Garamond" w:cs="Times New Roman"/>
          <w:lang w:eastAsia="pl-PL"/>
        </w:rPr>
        <w:t>. Zamawiający nie wzywał do uzupełnienia</w:t>
      </w:r>
      <w:r w:rsidR="00E803C3">
        <w:rPr>
          <w:rFonts w:ascii="Garamond" w:eastAsia="Times New Roman" w:hAnsi="Garamond" w:cs="Times New Roman"/>
          <w:lang w:eastAsia="pl-PL"/>
        </w:rPr>
        <w:t xml:space="preserve"> niniejszych dokumentów,</w:t>
      </w:r>
      <w:r w:rsidRPr="00107C54">
        <w:rPr>
          <w:rFonts w:ascii="Garamond" w:eastAsia="Times New Roman" w:hAnsi="Garamond" w:cs="Times New Roman"/>
          <w:lang w:eastAsia="pl-PL"/>
        </w:rPr>
        <w:t xml:space="preserve"> gdyż zgodnie z zapisami Specyfikacji dokumenty o</w:t>
      </w:r>
      <w:r>
        <w:rPr>
          <w:rFonts w:ascii="Garamond" w:eastAsia="Times New Roman" w:hAnsi="Garamond" w:cs="Times New Roman"/>
          <w:lang w:eastAsia="pl-PL"/>
        </w:rPr>
        <w:t>kreślone w punkcie 10.2.1-10.2.2</w:t>
      </w:r>
      <w:r w:rsidRPr="00107C54">
        <w:rPr>
          <w:rFonts w:ascii="Garamond" w:eastAsia="Times New Roman" w:hAnsi="Garamond" w:cs="Times New Roman"/>
          <w:lang w:eastAsia="pl-PL"/>
        </w:rPr>
        <w:t xml:space="preserve"> specyfikacji stanowiły ofertę, </w:t>
      </w:r>
      <w:r>
        <w:rPr>
          <w:rFonts w:ascii="Garamond" w:eastAsia="Times New Roman" w:hAnsi="Garamond" w:cs="Times New Roman"/>
          <w:lang w:eastAsia="pl-PL"/>
        </w:rPr>
        <w:t>dlatego</w:t>
      </w:r>
      <w:r w:rsidRPr="00107C54">
        <w:rPr>
          <w:rFonts w:ascii="Garamond" w:eastAsia="Times New Roman" w:hAnsi="Garamond" w:cs="Times New Roman"/>
          <w:lang w:eastAsia="pl-PL"/>
        </w:rPr>
        <w:t xml:space="preserve"> nie podlegały procedurze uzupełnienia, określonej w art. 26 ust. 3 ustawy </w:t>
      </w:r>
      <w:proofErr w:type="spellStart"/>
      <w:r w:rsidRPr="00107C54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07C54">
        <w:rPr>
          <w:rFonts w:ascii="Garamond" w:eastAsia="Times New Roman" w:hAnsi="Garamond" w:cs="Times New Roman"/>
          <w:lang w:eastAsia="pl-PL"/>
        </w:rPr>
        <w:t>. W związku z tym złożona przez Wykonawcę oferta nie potwierdza spełniania wymagań postawionych przez Zamawiającego w specyfikacji, zatem nie odpowiada treści specyfikacji.</w:t>
      </w:r>
    </w:p>
    <w:p w:rsidR="00107C54" w:rsidRDefault="00107C54" w:rsidP="00107C5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AA5AE1" w:rsidRDefault="00AA5AE1" w:rsidP="00107C5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7C0C7B" w:rsidRPr="00107C54" w:rsidTr="000718AB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C0C7B" w:rsidRPr="00107C54" w:rsidRDefault="007C0C7B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0C7B" w:rsidRPr="00107C54" w:rsidRDefault="007C0C7B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005808">
              <w:rPr>
                <w:rFonts w:ascii="Garamond" w:eastAsia="Calibri" w:hAnsi="Garamond" w:cs="Times New Roman"/>
              </w:rPr>
              <w:t>Bio</w:t>
            </w:r>
            <w:proofErr w:type="spellEnd"/>
            <w:r w:rsidRPr="00005808">
              <w:rPr>
                <w:rFonts w:ascii="Garamond" w:eastAsia="Calibri" w:hAnsi="Garamond" w:cs="Times New Roman"/>
              </w:rPr>
              <w:t>-Rad Polska Sp. z o.o., ul. Przyokopowa 33, 01-208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0C7B" w:rsidRPr="00107C54" w:rsidRDefault="007C0C7B" w:rsidP="000718A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11</w:t>
            </w:r>
          </w:p>
        </w:tc>
      </w:tr>
    </w:tbl>
    <w:p w:rsidR="007C0C7B" w:rsidRDefault="007C0C7B" w:rsidP="007C0C7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C0C7B" w:rsidRPr="007C0C7B" w:rsidRDefault="007C0C7B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C0C7B">
        <w:rPr>
          <w:rFonts w:ascii="Garamond" w:eastAsia="Times New Roman" w:hAnsi="Garamond" w:cs="Times New Roman"/>
          <w:bCs/>
          <w:lang w:eastAsia="pl-PL"/>
        </w:rPr>
        <w:t>Uzasadnienie prawne: art. 89 ust. 1 pkt. 5 ustawy Prawo zamówień publicznych.</w:t>
      </w:r>
    </w:p>
    <w:p w:rsidR="007C0C7B" w:rsidRPr="007C0C7B" w:rsidRDefault="007C0C7B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C0C7B">
        <w:rPr>
          <w:rFonts w:ascii="Garamond" w:eastAsia="Times New Roman" w:hAnsi="Garamond" w:cs="Times New Roman"/>
          <w:bCs/>
          <w:lang w:eastAsia="pl-PL"/>
        </w:rPr>
        <w:t>Uzasadnienie faktyczne: oferta została złożona przez wykonawcę wykluczonego z udziału w postępowaniu o udzielenie zamówienia.</w:t>
      </w:r>
    </w:p>
    <w:p w:rsidR="00107C54" w:rsidRDefault="00107C54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AA5AE1" w:rsidRDefault="00AA5AE1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14632B" w:rsidRPr="00107C54" w:rsidTr="00A407D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4632B" w:rsidRPr="00107C54" w:rsidRDefault="0014632B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632B" w:rsidRPr="00107C54" w:rsidRDefault="0014632B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14632B">
              <w:rPr>
                <w:rFonts w:ascii="Garamond" w:eastAsia="Calibri" w:hAnsi="Garamond" w:cs="Times New Roman"/>
              </w:rPr>
              <w:t>Polgen</w:t>
            </w:r>
            <w:proofErr w:type="spellEnd"/>
            <w:r w:rsidRPr="0014632B">
              <w:rPr>
                <w:rFonts w:ascii="Garamond" w:eastAsia="Calibri" w:hAnsi="Garamond" w:cs="Times New Roman"/>
              </w:rPr>
              <w:t xml:space="preserve"> Sp. z o.o. Sp. k., ul. Puszkina 80, 92-516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32B" w:rsidRPr="00107C54" w:rsidRDefault="0014632B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7, 13</w:t>
            </w:r>
          </w:p>
        </w:tc>
      </w:tr>
    </w:tbl>
    <w:p w:rsidR="0014632B" w:rsidRDefault="0014632B" w:rsidP="0014632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4632B" w:rsidRPr="007C0C7B" w:rsidRDefault="0014632B" w:rsidP="0014632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C0C7B">
        <w:rPr>
          <w:rFonts w:ascii="Garamond" w:eastAsia="Times New Roman" w:hAnsi="Garamond" w:cs="Times New Roman"/>
          <w:bCs/>
          <w:lang w:eastAsia="pl-PL"/>
        </w:rPr>
        <w:t xml:space="preserve">Uzasadnienie prawne: </w:t>
      </w:r>
      <w:r>
        <w:rPr>
          <w:rFonts w:ascii="Garamond" w:eastAsia="Times New Roman" w:hAnsi="Garamond" w:cs="Times New Roman"/>
          <w:bCs/>
          <w:lang w:eastAsia="pl-PL"/>
        </w:rPr>
        <w:t>art. 89 ust. 1 pkt. 4 w związku z art. 90 ust. 3</w:t>
      </w:r>
      <w:r w:rsidRPr="007C0C7B">
        <w:rPr>
          <w:rFonts w:ascii="Garamond" w:eastAsia="Times New Roman" w:hAnsi="Garamond" w:cs="Times New Roman"/>
          <w:bCs/>
          <w:lang w:eastAsia="pl-PL"/>
        </w:rPr>
        <w:t xml:space="preserve"> ustawy Prawo zamówień publicznych.</w:t>
      </w:r>
    </w:p>
    <w:p w:rsidR="0014632B" w:rsidRPr="007C0C7B" w:rsidRDefault="0014632B" w:rsidP="0014632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14632B">
        <w:rPr>
          <w:rFonts w:ascii="Garamond" w:eastAsia="Times New Roman" w:hAnsi="Garamond" w:cs="Times New Roman"/>
          <w:bCs/>
          <w:lang w:eastAsia="pl-PL"/>
        </w:rPr>
        <w:t>Uzasadnienie faktyczne: Oferta zawiera rażąco niską cenę w stosunku do przedmiotu zamówien</w:t>
      </w:r>
      <w:r>
        <w:rPr>
          <w:rFonts w:ascii="Garamond" w:eastAsia="Times New Roman" w:hAnsi="Garamond" w:cs="Times New Roman"/>
          <w:bCs/>
          <w:lang w:eastAsia="pl-PL"/>
        </w:rPr>
        <w:t>ia. Zamawiający pismem z dnia 12.05</w:t>
      </w:r>
      <w:r w:rsidRPr="0014632B">
        <w:rPr>
          <w:rFonts w:ascii="Garamond" w:eastAsia="Times New Roman" w:hAnsi="Garamond" w:cs="Times New Roman"/>
          <w:bCs/>
          <w:lang w:eastAsia="pl-PL"/>
        </w:rPr>
        <w:t xml:space="preserve">.2020 r., w związku z zaistnieniem przesłanek określonych w art. 90 ust. 1a ustawy Prawo zamówień publicznych, wezwał Wykonawcę do udzielenie wyjaśnień, w tym złożenie dowodów, dotyczących wyliczenia ceny </w:t>
      </w:r>
      <w:r>
        <w:rPr>
          <w:rFonts w:ascii="Garamond" w:eastAsia="Times New Roman" w:hAnsi="Garamond" w:cs="Times New Roman"/>
          <w:bCs/>
          <w:lang w:eastAsia="pl-PL"/>
        </w:rPr>
        <w:t>w części 7 i 13</w:t>
      </w:r>
      <w:r w:rsidRPr="0014632B">
        <w:rPr>
          <w:rFonts w:ascii="Garamond" w:eastAsia="Times New Roman" w:hAnsi="Garamond" w:cs="Times New Roman"/>
          <w:bCs/>
          <w:lang w:eastAsia="pl-PL"/>
        </w:rPr>
        <w:t xml:space="preserve"> przedmiotowego zamówienia. Wykonawca </w:t>
      </w:r>
      <w:r w:rsidR="00AA5AE1">
        <w:rPr>
          <w:rFonts w:ascii="Garamond" w:eastAsia="Times New Roman" w:hAnsi="Garamond" w:cs="Times New Roman"/>
          <w:bCs/>
          <w:lang w:eastAsia="pl-PL"/>
        </w:rPr>
        <w:t>nie udzielił wyjaśnień w zakresie wyliczenia ceny w obu wskazanych częściach zamówienia (tj. 7 i 14).</w:t>
      </w:r>
    </w:p>
    <w:p w:rsidR="0014632B" w:rsidRDefault="0014632B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4632B" w:rsidRDefault="0014632B" w:rsidP="007C0C7B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AA5AE1" w:rsidRPr="00107C54" w:rsidTr="00A407D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A5AE1" w:rsidRPr="00107C54" w:rsidRDefault="00AA5AE1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E1" w:rsidRPr="00107C54" w:rsidRDefault="00AA5AE1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A5AE1">
              <w:rPr>
                <w:rFonts w:ascii="Garamond" w:eastAsia="Calibri" w:hAnsi="Garamond" w:cs="Times New Roman"/>
              </w:rPr>
              <w:t>Biovigen Sp. z o.o., Tymienice 82a, 98-220 Zduńska Wola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E1" w:rsidRPr="00107C54" w:rsidRDefault="00AA5AE1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7</w:t>
            </w:r>
          </w:p>
        </w:tc>
      </w:tr>
    </w:tbl>
    <w:p w:rsidR="00AA5AE1" w:rsidRDefault="00AA5AE1" w:rsidP="00AA5AE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A5AE1" w:rsidRPr="00AA5AE1" w:rsidRDefault="00AA5AE1" w:rsidP="00AA5AE1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Uzasadnienie prawne: art. 89 ust. 1 pkt 7b ustawy Prawo zamówień publicznych.</w:t>
      </w:r>
    </w:p>
    <w:p w:rsidR="00AA5AE1" w:rsidRPr="00AA5AE1" w:rsidRDefault="00AA5AE1" w:rsidP="00AA5AE1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Uzasadnienie faktyczne: Wadium nie zostało wniesione</w:t>
      </w:r>
      <w:r w:rsidR="00C243AA">
        <w:rPr>
          <w:rFonts w:ascii="Garamond" w:eastAsia="Times New Roman" w:hAnsi="Garamond" w:cs="Times New Roman"/>
          <w:bCs/>
          <w:lang w:eastAsia="pl-PL"/>
        </w:rPr>
        <w:t xml:space="preserve"> lub zostało wniesione w sposób nieprawidłowy</w:t>
      </w:r>
      <w:r w:rsidRPr="00AA5AE1">
        <w:rPr>
          <w:rFonts w:ascii="Garamond" w:eastAsia="Times New Roman" w:hAnsi="Garamond" w:cs="Times New Roman"/>
          <w:bCs/>
          <w:lang w:eastAsia="pl-PL"/>
        </w:rPr>
        <w:t>.</w:t>
      </w:r>
    </w:p>
    <w:p w:rsidR="00AA5AE1" w:rsidRPr="00AA5AE1" w:rsidRDefault="00AA5AE1" w:rsidP="00AA5AE1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Wykonawca był zobowiązany do wniesienia wadium przed upływem terminu sk</w:t>
      </w:r>
      <w:r>
        <w:rPr>
          <w:rFonts w:ascii="Garamond" w:eastAsia="Times New Roman" w:hAnsi="Garamond" w:cs="Times New Roman"/>
          <w:bCs/>
          <w:lang w:eastAsia="pl-PL"/>
        </w:rPr>
        <w:t>ładania ofert, tj. do dnia 04.05.2020 r. do godz. 13:0</w:t>
      </w:r>
      <w:r w:rsidRPr="00AA5AE1">
        <w:rPr>
          <w:rFonts w:ascii="Garamond" w:eastAsia="Times New Roman" w:hAnsi="Garamond" w:cs="Times New Roman"/>
          <w:bCs/>
          <w:lang w:eastAsia="pl-PL"/>
        </w:rPr>
        <w:t xml:space="preserve">0. W przypadku wnoszenia wadium w pieniądzu terminem wniesienia wadium jest data i czas uznania rachunku Zamawiającego (co Zamawiający podkreślił w specyfikacji w pkt. 8.4). Przedmiotowe wadium </w:t>
      </w:r>
      <w:r w:rsidR="00C243AA">
        <w:rPr>
          <w:rFonts w:ascii="Garamond" w:eastAsia="Times New Roman" w:hAnsi="Garamond" w:cs="Times New Roman"/>
          <w:bCs/>
          <w:lang w:eastAsia="pl-PL"/>
        </w:rPr>
        <w:t>zostało wniesione przez Wykonawcę</w:t>
      </w:r>
      <w:r w:rsidR="00C243AA" w:rsidRPr="00C243AA">
        <w:rPr>
          <w:rFonts w:ascii="Garamond" w:eastAsia="Times New Roman" w:hAnsi="Garamond" w:cs="Times New Roman"/>
          <w:bCs/>
          <w:lang w:eastAsia="pl-PL"/>
        </w:rPr>
        <w:t xml:space="preserve"> po terminie składania ofert tj. w dniu </w:t>
      </w:r>
      <w:r w:rsidR="00C243AA">
        <w:rPr>
          <w:rFonts w:ascii="Garamond" w:eastAsia="Times New Roman" w:hAnsi="Garamond" w:cs="Times New Roman"/>
          <w:bCs/>
          <w:lang w:eastAsia="pl-PL"/>
        </w:rPr>
        <w:t>04.05.2020 r.</w:t>
      </w:r>
      <w:r w:rsidR="00C243AA" w:rsidRPr="00C243AA">
        <w:rPr>
          <w:rFonts w:ascii="Garamond" w:eastAsia="Times New Roman" w:hAnsi="Garamond" w:cs="Times New Roman"/>
          <w:bCs/>
          <w:lang w:eastAsia="pl-PL"/>
        </w:rPr>
        <w:t xml:space="preserve"> o godzinie </w:t>
      </w:r>
      <w:r w:rsidR="00C243AA">
        <w:rPr>
          <w:rFonts w:ascii="Garamond" w:eastAsia="Times New Roman" w:hAnsi="Garamond" w:cs="Times New Roman"/>
          <w:bCs/>
          <w:lang w:eastAsia="pl-PL"/>
        </w:rPr>
        <w:t>14:16</w:t>
      </w:r>
      <w:r w:rsidRPr="00AA5AE1">
        <w:rPr>
          <w:rFonts w:ascii="Garamond" w:eastAsia="Times New Roman" w:hAnsi="Garamond" w:cs="Times New Roman"/>
          <w:bCs/>
          <w:iCs/>
          <w:lang w:eastAsia="pl-PL"/>
        </w:rPr>
        <w:t xml:space="preserve">. </w:t>
      </w:r>
    </w:p>
    <w:p w:rsidR="00AA5AE1" w:rsidRPr="007C0C7B" w:rsidRDefault="00AA5AE1" w:rsidP="00AA5AE1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AA5AE1" w:rsidRDefault="00AA5AE1" w:rsidP="00AA5AE1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C243AA" w:rsidRPr="00107C54" w:rsidTr="00A407D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C243AA" w:rsidRPr="00107C54" w:rsidRDefault="00C243AA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243AA" w:rsidRPr="00107C54" w:rsidRDefault="00C243AA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C243AA">
              <w:rPr>
                <w:rFonts w:ascii="Garamond" w:eastAsia="Calibri" w:hAnsi="Garamond" w:cs="Times New Roman"/>
              </w:rPr>
              <w:t>Diagnostica</w:t>
            </w:r>
            <w:proofErr w:type="spellEnd"/>
            <w:r w:rsidRPr="00C243A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243AA">
              <w:rPr>
                <w:rFonts w:ascii="Garamond" w:eastAsia="Calibri" w:hAnsi="Garamond" w:cs="Times New Roman"/>
              </w:rPr>
              <w:t>a.s</w:t>
            </w:r>
            <w:proofErr w:type="spellEnd"/>
            <w:r w:rsidRPr="00C243AA">
              <w:rPr>
                <w:rFonts w:ascii="Garamond" w:eastAsia="Calibri" w:hAnsi="Garamond" w:cs="Times New Roman"/>
              </w:rPr>
              <w:t>. S.A., ul. Duńska 9, 54-427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3AA" w:rsidRPr="00107C54" w:rsidRDefault="00C243AA" w:rsidP="00A407D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26</w:t>
            </w:r>
          </w:p>
        </w:tc>
      </w:tr>
    </w:tbl>
    <w:p w:rsidR="00C243AA" w:rsidRDefault="00C243AA" w:rsidP="00C243A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43AA" w:rsidRPr="00AA5AE1" w:rsidRDefault="00C243AA" w:rsidP="00C243A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Uzasadnienie prawne: art. 89 ust. 1 pkt 7b ustawy Prawo zamówień publicznych.</w:t>
      </w:r>
    </w:p>
    <w:p w:rsidR="00C243AA" w:rsidRPr="00AA5AE1" w:rsidRDefault="00C243AA" w:rsidP="00C243A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Uzasadnienie faktyczne: Wadium nie zostało wniesione</w:t>
      </w:r>
      <w:r>
        <w:rPr>
          <w:rFonts w:ascii="Garamond" w:eastAsia="Times New Roman" w:hAnsi="Garamond" w:cs="Times New Roman"/>
          <w:bCs/>
          <w:lang w:eastAsia="pl-PL"/>
        </w:rPr>
        <w:t xml:space="preserve"> lub zostało wniesione w sposób nieprawidłowy</w:t>
      </w:r>
      <w:r w:rsidRPr="00AA5AE1">
        <w:rPr>
          <w:rFonts w:ascii="Garamond" w:eastAsia="Times New Roman" w:hAnsi="Garamond" w:cs="Times New Roman"/>
          <w:bCs/>
          <w:lang w:eastAsia="pl-PL"/>
        </w:rPr>
        <w:t>.</w:t>
      </w:r>
    </w:p>
    <w:p w:rsidR="00AA5AE1" w:rsidRPr="007238AD" w:rsidRDefault="00C243AA" w:rsidP="007238AD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AA5AE1">
        <w:rPr>
          <w:rFonts w:ascii="Garamond" w:eastAsia="Times New Roman" w:hAnsi="Garamond" w:cs="Times New Roman"/>
          <w:bCs/>
          <w:lang w:eastAsia="pl-PL"/>
        </w:rPr>
        <w:t>Wykonawca był zobowiązany do wniesienia wadium przed upływem terminu sk</w:t>
      </w:r>
      <w:r>
        <w:rPr>
          <w:rFonts w:ascii="Garamond" w:eastAsia="Times New Roman" w:hAnsi="Garamond" w:cs="Times New Roman"/>
          <w:bCs/>
          <w:lang w:eastAsia="pl-PL"/>
        </w:rPr>
        <w:t>ładania ofert, tj. do dnia 04.05.2020 r. do godz. 13:0</w:t>
      </w:r>
      <w:r w:rsidRPr="00AA5AE1">
        <w:rPr>
          <w:rFonts w:ascii="Garamond" w:eastAsia="Times New Roman" w:hAnsi="Garamond" w:cs="Times New Roman"/>
          <w:bCs/>
          <w:lang w:eastAsia="pl-PL"/>
        </w:rPr>
        <w:t xml:space="preserve">0. W przypadku wnoszenia wadium w pieniądzu terminem wniesienia wadium jest data i czas uznania rachunku Zamawiającego (co Zamawiający podkreślił w specyfikacji w pkt. 8.4). Przedmiotowe wadium </w:t>
      </w:r>
      <w:r>
        <w:rPr>
          <w:rFonts w:ascii="Garamond" w:eastAsia="Times New Roman" w:hAnsi="Garamond" w:cs="Times New Roman"/>
          <w:bCs/>
          <w:lang w:eastAsia="pl-PL"/>
        </w:rPr>
        <w:t>zostało wniesione przez Wykonawcę</w:t>
      </w:r>
      <w:r w:rsidRPr="00C243AA">
        <w:rPr>
          <w:rFonts w:ascii="Garamond" w:eastAsia="Times New Roman" w:hAnsi="Garamond" w:cs="Times New Roman"/>
          <w:bCs/>
          <w:lang w:eastAsia="pl-PL"/>
        </w:rPr>
        <w:t xml:space="preserve"> po terminie składania ofert tj. w dniu </w:t>
      </w:r>
      <w:r>
        <w:rPr>
          <w:rFonts w:ascii="Garamond" w:eastAsia="Times New Roman" w:hAnsi="Garamond" w:cs="Times New Roman"/>
          <w:bCs/>
          <w:lang w:eastAsia="pl-PL"/>
        </w:rPr>
        <w:t>04.05.2020 r.</w:t>
      </w:r>
      <w:r w:rsidRPr="00C243AA">
        <w:rPr>
          <w:rFonts w:ascii="Garamond" w:eastAsia="Times New Roman" w:hAnsi="Garamond" w:cs="Times New Roman"/>
          <w:bCs/>
          <w:lang w:eastAsia="pl-PL"/>
        </w:rPr>
        <w:t xml:space="preserve"> o godzinie </w:t>
      </w:r>
      <w:r>
        <w:rPr>
          <w:rFonts w:ascii="Garamond" w:eastAsia="Times New Roman" w:hAnsi="Garamond" w:cs="Times New Roman"/>
          <w:bCs/>
          <w:lang w:eastAsia="pl-PL"/>
        </w:rPr>
        <w:t>14:16</w:t>
      </w:r>
      <w:r w:rsidRPr="00AA5AE1">
        <w:rPr>
          <w:rFonts w:ascii="Garamond" w:eastAsia="Times New Roman" w:hAnsi="Garamond" w:cs="Times New Roman"/>
          <w:bCs/>
          <w:iCs/>
          <w:lang w:eastAsia="pl-PL"/>
        </w:rPr>
        <w:t xml:space="preserve">. </w:t>
      </w:r>
    </w:p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A0ED0" w:rsidRDefault="008A0ED0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624A9C" w:rsidRPr="00107C54" w:rsidTr="007A7E8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A9C" w:rsidRPr="00107C54" w:rsidRDefault="00624A9C" w:rsidP="007A7E8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nr 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4A9C" w:rsidRPr="00107C54" w:rsidRDefault="00624A9C" w:rsidP="007A7E8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24A9C">
              <w:rPr>
                <w:rFonts w:ascii="Garamond" w:eastAsia="Calibri" w:hAnsi="Garamond" w:cs="Times New Roman"/>
              </w:rPr>
              <w:t>QIAGEN Polska Sp. z o.o., ul. Powstańców Śląskich 95, 53-332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9C" w:rsidRPr="00107C54" w:rsidRDefault="00624A9C" w:rsidP="007A7E8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2</w:t>
            </w:r>
          </w:p>
        </w:tc>
      </w:tr>
    </w:tbl>
    <w:p w:rsidR="00624A9C" w:rsidRDefault="00624A9C" w:rsidP="00624A9C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4A9C" w:rsidRPr="00624A9C" w:rsidRDefault="00624A9C" w:rsidP="00624A9C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24A9C">
        <w:rPr>
          <w:rFonts w:ascii="Garamond" w:eastAsia="Times New Roman" w:hAnsi="Garamond" w:cs="Times New Roman"/>
          <w:bCs/>
          <w:lang w:eastAsia="pl-PL"/>
        </w:rPr>
        <w:t>Uzasadnienie prawne: art. 89 ust. 1 pkt. 2 ustawy Prawo zamówień publicznych.</w:t>
      </w:r>
    </w:p>
    <w:p w:rsidR="00624A9C" w:rsidRPr="00624A9C" w:rsidRDefault="00624A9C" w:rsidP="008A0ED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624A9C">
        <w:rPr>
          <w:rFonts w:ascii="Garamond" w:eastAsia="Times New Roman" w:hAnsi="Garamond" w:cs="Times New Roman"/>
          <w:bCs/>
          <w:lang w:eastAsia="pl-PL"/>
        </w:rPr>
        <w:t xml:space="preserve">Uzasadnienie faktyczne: treść oferty nie odpowiada treści specyfikacji istotnych warunków zamówienia. w części </w:t>
      </w:r>
      <w:r>
        <w:rPr>
          <w:rFonts w:ascii="Garamond" w:eastAsia="Times New Roman" w:hAnsi="Garamond" w:cs="Times New Roman"/>
          <w:bCs/>
          <w:lang w:eastAsia="pl-PL"/>
        </w:rPr>
        <w:t xml:space="preserve">2 </w:t>
      </w:r>
      <w:r w:rsidRPr="00624A9C">
        <w:rPr>
          <w:rFonts w:ascii="Garamond" w:eastAsia="Times New Roman" w:hAnsi="Garamond" w:cs="Times New Roman"/>
          <w:bCs/>
          <w:lang w:eastAsia="pl-PL"/>
        </w:rPr>
        <w:t xml:space="preserve">Zamawiający wymagał </w:t>
      </w:r>
      <w:r>
        <w:rPr>
          <w:rFonts w:ascii="Garamond" w:eastAsia="Times New Roman" w:hAnsi="Garamond" w:cs="Times New Roman"/>
          <w:bCs/>
          <w:lang w:eastAsia="pl-PL"/>
        </w:rPr>
        <w:t>odczynnika</w:t>
      </w:r>
      <w:r w:rsidRPr="00624A9C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„10mM </w:t>
      </w:r>
      <w:proofErr w:type="spellStart"/>
      <w:r w:rsidRPr="00624A9C">
        <w:rPr>
          <w:rFonts w:ascii="Garamond" w:eastAsia="Times New Roman" w:hAnsi="Garamond" w:cs="Times New Roman"/>
          <w:bCs/>
          <w:iCs/>
          <w:lang w:eastAsia="pl-PL"/>
        </w:rPr>
        <w:t>dNTP</w:t>
      </w:r>
      <w:proofErr w:type="spellEnd"/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 mieszanina. Gotowe do użycia (…)”. </w:t>
      </w:r>
      <w:r>
        <w:rPr>
          <w:rFonts w:ascii="Garamond" w:eastAsia="Times New Roman" w:hAnsi="Garamond" w:cs="Times New Roman"/>
          <w:bCs/>
          <w:iCs/>
          <w:lang w:eastAsia="pl-PL"/>
        </w:rPr>
        <w:t>Wykonawca zaoferował natomiast w arkuszu cenowym odczynnik o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 xml:space="preserve"> niewłaściwym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stężeniu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 xml:space="preserve"> tj.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100mM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 xml:space="preserve"> każdy </w:t>
      </w:r>
      <w:proofErr w:type="spellStart"/>
      <w:r w:rsidR="008A0ED0">
        <w:rPr>
          <w:rFonts w:ascii="Garamond" w:eastAsia="Times New Roman" w:hAnsi="Garamond" w:cs="Times New Roman"/>
          <w:bCs/>
          <w:iCs/>
          <w:lang w:eastAsia="pl-PL"/>
        </w:rPr>
        <w:t>dNTP</w:t>
      </w:r>
      <w:proofErr w:type="spellEnd"/>
      <w:r w:rsidR="008A0ED0">
        <w:rPr>
          <w:rFonts w:ascii="Garamond" w:eastAsia="Times New Roman" w:hAnsi="Garamond" w:cs="Times New Roman"/>
          <w:bCs/>
          <w:iCs/>
          <w:lang w:eastAsia="pl-PL"/>
        </w:rPr>
        <w:t xml:space="preserve"> (cztery oddzielne </w:t>
      </w:r>
      <w:proofErr w:type="spellStart"/>
      <w:r w:rsidR="008A0ED0">
        <w:rPr>
          <w:rFonts w:ascii="Garamond" w:eastAsia="Times New Roman" w:hAnsi="Garamond" w:cs="Times New Roman"/>
          <w:bCs/>
          <w:iCs/>
          <w:lang w:eastAsia="pl-PL"/>
        </w:rPr>
        <w:t>dNTP</w:t>
      </w:r>
      <w:proofErr w:type="spellEnd"/>
      <w:r w:rsidR="008A0ED0">
        <w:rPr>
          <w:rFonts w:ascii="Garamond" w:eastAsia="Times New Roman" w:hAnsi="Garamond" w:cs="Times New Roman"/>
          <w:bCs/>
          <w:iCs/>
          <w:lang w:eastAsia="pl-PL"/>
        </w:rPr>
        <w:t xml:space="preserve"> A, T, C, G) oraz odczynnik, który nie jest gotowy do użycia, ponieważ żądane stężenie Zamawiający musiałby uzyskać poprzez samodzielne sporządzenie mieszaniny i jej rozcieńczenie. Powyższe wynika z wskazanej w arkuszu cenowym nazwy zaoferowanego odczynnika i przypisanego do niego nr katalogowego. </w:t>
      </w:r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W związku z tym zaoferowany 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>produkt</w:t>
      </w:r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 w części 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>2</w:t>
      </w:r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 nie spełnia wymagań Zamawiającego, dlateg</w:t>
      </w:r>
      <w:r w:rsidR="008A0ED0">
        <w:rPr>
          <w:rFonts w:ascii="Garamond" w:eastAsia="Times New Roman" w:hAnsi="Garamond" w:cs="Times New Roman"/>
          <w:bCs/>
          <w:iCs/>
          <w:lang w:eastAsia="pl-PL"/>
        </w:rPr>
        <w:t>o też złożona oferta w części 2</w:t>
      </w:r>
      <w:r w:rsidRPr="00624A9C">
        <w:rPr>
          <w:rFonts w:ascii="Garamond" w:eastAsia="Times New Roman" w:hAnsi="Garamond" w:cs="Times New Roman"/>
          <w:bCs/>
          <w:iCs/>
          <w:lang w:eastAsia="pl-PL"/>
        </w:rPr>
        <w:t xml:space="preserve"> jest niezgodna z postanowieniami specyfikacji.</w:t>
      </w:r>
    </w:p>
    <w:p w:rsidR="00624A9C" w:rsidRPr="00753BF7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753BF7">
        <w:rPr>
          <w:rFonts w:ascii="Garamond" w:eastAsia="Times New Roman" w:hAnsi="Garamond" w:cs="Times New Roman"/>
          <w:lang w:eastAsia="pl-PL"/>
        </w:rPr>
        <w:t>6. W części</w:t>
      </w:r>
      <w:r w:rsidR="00F4242C" w:rsidRPr="00753BF7">
        <w:rPr>
          <w:rFonts w:ascii="Garamond" w:eastAsia="Times New Roman" w:hAnsi="Garamond" w:cs="Times New Roman"/>
          <w:lang w:eastAsia="pl-PL"/>
        </w:rPr>
        <w:t>ach</w:t>
      </w:r>
      <w:r w:rsidR="00B62F84">
        <w:rPr>
          <w:rFonts w:ascii="Garamond" w:eastAsia="Times New Roman" w:hAnsi="Garamond" w:cs="Times New Roman"/>
          <w:lang w:eastAsia="pl-PL"/>
        </w:rPr>
        <w:t>:</w:t>
      </w:r>
      <w:r w:rsidRPr="00753BF7">
        <w:rPr>
          <w:rFonts w:ascii="Garamond" w:eastAsia="Times New Roman" w:hAnsi="Garamond" w:cs="Times New Roman"/>
          <w:lang w:eastAsia="pl-PL"/>
        </w:rPr>
        <w:t xml:space="preserve"> 1</w:t>
      </w:r>
      <w:r w:rsidR="00F4242C" w:rsidRPr="00753BF7">
        <w:rPr>
          <w:rFonts w:ascii="Garamond" w:eastAsia="Times New Roman" w:hAnsi="Garamond" w:cs="Times New Roman"/>
          <w:lang w:eastAsia="pl-PL"/>
        </w:rPr>
        <w:t xml:space="preserve">, </w:t>
      </w:r>
      <w:r w:rsidR="002331BB">
        <w:rPr>
          <w:rFonts w:ascii="Garamond" w:eastAsia="Times New Roman" w:hAnsi="Garamond" w:cs="Times New Roman"/>
          <w:lang w:eastAsia="pl-PL"/>
        </w:rPr>
        <w:t>6, 8</w:t>
      </w:r>
      <w:r w:rsidR="00F4242C" w:rsidRPr="00753BF7">
        <w:rPr>
          <w:rFonts w:ascii="Garamond" w:eastAsia="Times New Roman" w:hAnsi="Garamond" w:cs="Times New Roman"/>
          <w:lang w:eastAsia="pl-PL"/>
        </w:rPr>
        <w:t xml:space="preserve">, </w:t>
      </w:r>
      <w:r w:rsidR="002331BB">
        <w:rPr>
          <w:rFonts w:ascii="Garamond" w:eastAsia="Times New Roman" w:hAnsi="Garamond" w:cs="Times New Roman"/>
          <w:lang w:eastAsia="pl-PL"/>
        </w:rPr>
        <w:t>10, 16, 17, 18, 19, 25, 27,</w:t>
      </w:r>
      <w:r w:rsidR="00B62F84">
        <w:rPr>
          <w:rFonts w:ascii="Garamond" w:eastAsia="Times New Roman" w:hAnsi="Garamond" w:cs="Times New Roman"/>
          <w:lang w:eastAsia="pl-PL"/>
        </w:rPr>
        <w:t xml:space="preserve"> umowy</w:t>
      </w:r>
      <w:r w:rsidR="00117E1B" w:rsidRPr="00753BF7">
        <w:rPr>
          <w:rFonts w:ascii="Garamond" w:eastAsia="Times New Roman" w:hAnsi="Garamond" w:cs="Times New Roman"/>
          <w:lang w:eastAsia="pl-PL"/>
        </w:rPr>
        <w:t xml:space="preserve"> w spr</w:t>
      </w:r>
      <w:r w:rsidR="00B62F84">
        <w:rPr>
          <w:rFonts w:ascii="Garamond" w:eastAsia="Times New Roman" w:hAnsi="Garamond" w:cs="Times New Roman"/>
          <w:lang w:eastAsia="pl-PL"/>
        </w:rPr>
        <w:t>awie zamówienia publicznego mogą być zawarte</w:t>
      </w:r>
      <w:r w:rsidR="00117E1B" w:rsidRPr="00753BF7">
        <w:rPr>
          <w:rFonts w:ascii="Garamond" w:eastAsia="Times New Roman" w:hAnsi="Garamond" w:cs="Times New Roman"/>
          <w:lang w:eastAsia="pl-PL"/>
        </w:rPr>
        <w:t xml:space="preserve"> niezwłocznie po przesłaniu zawiadomienia o wyborze najkorzystniejszej oferty. W częściach</w:t>
      </w:r>
      <w:r w:rsidR="00B62F84">
        <w:rPr>
          <w:rFonts w:ascii="Garamond" w:eastAsia="Times New Roman" w:hAnsi="Garamond" w:cs="Times New Roman"/>
          <w:lang w:eastAsia="pl-PL"/>
        </w:rPr>
        <w:t>:</w:t>
      </w:r>
      <w:r w:rsidR="00A31CD5" w:rsidRPr="00753BF7">
        <w:rPr>
          <w:rFonts w:ascii="Garamond" w:eastAsia="Times New Roman" w:hAnsi="Garamond" w:cs="Times New Roman"/>
          <w:lang w:eastAsia="pl-PL"/>
        </w:rPr>
        <w:t xml:space="preserve"> </w:t>
      </w:r>
      <w:r w:rsidR="00B62F84">
        <w:rPr>
          <w:rFonts w:ascii="Garamond" w:eastAsia="Times New Roman" w:hAnsi="Garamond" w:cs="Times New Roman"/>
          <w:lang w:eastAsia="pl-PL"/>
        </w:rPr>
        <w:t>2, 4, 9, 13,</w:t>
      </w:r>
      <w:r w:rsidRPr="00753BF7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753BF7">
        <w:rPr>
          <w:rFonts w:ascii="Garamond" w:eastAsia="Times New Roman" w:hAnsi="Garamond" w:cs="Times New Roman"/>
          <w:lang w:eastAsia="pl-PL"/>
        </w:rPr>
        <w:t>umowy w sprawie zamówienia publicznego mogą być zawarte w termini</w:t>
      </w:r>
      <w:r w:rsidRPr="00753BF7">
        <w:rPr>
          <w:rFonts w:ascii="Garamond" w:eastAsia="Times New Roman" w:hAnsi="Garamond" w:cs="Times New Roman"/>
          <w:lang w:eastAsia="pl-PL"/>
        </w:rPr>
        <w:t>e nie krótszym niż 10</w:t>
      </w:r>
      <w:r w:rsidR="00117E1B" w:rsidRPr="00753BF7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921B1E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21B1E" w:rsidRP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7. </w:t>
      </w:r>
      <w:r w:rsidRPr="00921B1E">
        <w:rPr>
          <w:rFonts w:ascii="Garamond" w:eastAsia="Times New Roman" w:hAnsi="Garamond" w:cs="Times New Roman"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lang w:eastAsia="pl-PL"/>
        </w:rPr>
        <w:t xml:space="preserve">o udzielenie zamówienia </w:t>
      </w:r>
      <w:r w:rsidRPr="00921B1E">
        <w:rPr>
          <w:rFonts w:ascii="Garamond" w:eastAsia="Times New Roman" w:hAnsi="Garamond" w:cs="Times New Roman"/>
          <w:lang w:eastAsia="pl-PL"/>
        </w:rPr>
        <w:t>zostało unieważnione w</w:t>
      </w:r>
      <w:r>
        <w:rPr>
          <w:rFonts w:ascii="Garamond" w:eastAsia="Times New Roman" w:hAnsi="Garamond" w:cs="Times New Roman"/>
          <w:lang w:eastAsia="pl-PL"/>
        </w:rPr>
        <w:t xml:space="preserve"> zakresie</w:t>
      </w:r>
      <w:r w:rsidRPr="00921B1E">
        <w:rPr>
          <w:rFonts w:ascii="Garamond" w:eastAsia="Times New Roman" w:hAnsi="Garamond" w:cs="Times New Roman"/>
          <w:lang w:eastAsia="pl-PL"/>
        </w:rPr>
        <w:t xml:space="preserve"> części </w:t>
      </w:r>
      <w:r w:rsidR="00E00A2F">
        <w:rPr>
          <w:rFonts w:ascii="Garamond" w:eastAsia="Times New Roman" w:hAnsi="Garamond" w:cs="Times New Roman"/>
          <w:lang w:eastAsia="pl-PL"/>
        </w:rPr>
        <w:t>3-5, 11-12, 14-15, 20-24, 26</w:t>
      </w:r>
      <w:r w:rsidRPr="00921B1E">
        <w:rPr>
          <w:rFonts w:ascii="Garamond" w:eastAsia="Times New Roman" w:hAnsi="Garamond" w:cs="Times New Roman"/>
          <w:lang w:eastAsia="pl-PL"/>
        </w:rPr>
        <w:t>:</w:t>
      </w:r>
    </w:p>
    <w:p w:rsid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E00A2F" w:rsidRPr="00E00A2F" w:rsidRDefault="00E00A2F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E00A2F">
        <w:rPr>
          <w:rFonts w:ascii="Garamond" w:eastAsia="Times New Roman" w:hAnsi="Garamond" w:cs="Times New Roman"/>
          <w:u w:val="single"/>
          <w:lang w:eastAsia="pl-PL"/>
        </w:rPr>
        <w:t xml:space="preserve">Dotyczy części 3-5, </w:t>
      </w:r>
      <w:r>
        <w:rPr>
          <w:rFonts w:ascii="Garamond" w:eastAsia="Times New Roman" w:hAnsi="Garamond" w:cs="Times New Roman"/>
          <w:u w:val="single"/>
          <w:lang w:eastAsia="pl-PL"/>
        </w:rPr>
        <w:t xml:space="preserve">11, 14-15, </w:t>
      </w:r>
      <w:r w:rsidR="00A25813">
        <w:rPr>
          <w:rFonts w:ascii="Garamond" w:eastAsia="Times New Roman" w:hAnsi="Garamond" w:cs="Times New Roman"/>
          <w:u w:val="single"/>
          <w:lang w:eastAsia="pl-PL"/>
        </w:rPr>
        <w:t>24, 26</w:t>
      </w:r>
    </w:p>
    <w:p w:rsidR="00921B1E" w:rsidRPr="00921B1E" w:rsidRDefault="00921B1E" w:rsidP="00A2581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921B1E" w:rsidRPr="00CA713A" w:rsidRDefault="00921B1E" w:rsidP="00A2581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284FD2" w:rsidRDefault="00284FD2" w:rsidP="00A25813">
      <w:pPr>
        <w:spacing w:after="0" w:line="240" w:lineRule="auto"/>
        <w:jc w:val="both"/>
      </w:pPr>
    </w:p>
    <w:p w:rsidR="00A25813" w:rsidRP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A25813">
        <w:rPr>
          <w:rFonts w:ascii="Garamond" w:eastAsia="Times New Roman" w:hAnsi="Garamond" w:cs="Times New Roman"/>
          <w:u w:val="single"/>
          <w:lang w:eastAsia="pl-PL"/>
        </w:rPr>
        <w:t>Dotyczy części 12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prawne: art. 93 ust. 1 pkt  4 ustawy Prawo zamówień publicznych.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faktyczne: Postępowanie zostało unieważnione, gdyż oferta z najniższą ceną (</w:t>
      </w:r>
      <w:r w:rsidR="002331BB">
        <w:rPr>
          <w:rFonts w:ascii="Garamond" w:hAnsi="Garamond"/>
          <w:iCs/>
        </w:rPr>
        <w:t>591 695,49 </w:t>
      </w:r>
      <w:r w:rsidR="002331BB" w:rsidRPr="002331BB">
        <w:rPr>
          <w:rFonts w:ascii="Garamond" w:hAnsi="Garamond"/>
          <w:iCs/>
        </w:rPr>
        <w:t>zł</w:t>
      </w:r>
      <w:r w:rsidRPr="00A25813">
        <w:rPr>
          <w:rFonts w:ascii="Garamond" w:hAnsi="Garamond"/>
          <w:iCs/>
        </w:rPr>
        <w:t>) przewyższa kwotę, którą Zamawiający zamierza przeznaczyć na sfinansowanie zamówienia (</w:t>
      </w:r>
      <w:r w:rsidR="002331BB" w:rsidRPr="002331BB">
        <w:rPr>
          <w:rFonts w:ascii="Garamond" w:hAnsi="Garamond"/>
          <w:iCs/>
        </w:rPr>
        <w:t>454 650,21 zł</w:t>
      </w:r>
      <w:r w:rsidRPr="00A25813">
        <w:rPr>
          <w:rFonts w:ascii="Garamond" w:hAnsi="Garamond"/>
          <w:iCs/>
        </w:rPr>
        <w:t>), a Zamawiający nie może zwiększyć tej kwoty do ceny najkorzystniejszej oferty.</w:t>
      </w:r>
    </w:p>
    <w:p w:rsid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:rsidR="00A25813" w:rsidRP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A25813">
        <w:rPr>
          <w:rFonts w:ascii="Garamond" w:eastAsia="Times New Roman" w:hAnsi="Garamond" w:cs="Times New Roman"/>
          <w:u w:val="single"/>
          <w:lang w:eastAsia="pl-PL"/>
        </w:rPr>
        <w:t>Dotyczy części 20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prawne: art. 93 ust. 1 pkt  4 ustawy Prawo zamówień publicznych.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faktyczne: Postępowanie zostało unieważnione, gdyż oferta z najniższą ceną (</w:t>
      </w:r>
      <w:r w:rsidR="002331BB">
        <w:rPr>
          <w:rFonts w:ascii="Garamond" w:hAnsi="Garamond"/>
          <w:iCs/>
        </w:rPr>
        <w:t>31 104,00 </w:t>
      </w:r>
      <w:r w:rsidR="002331BB" w:rsidRPr="002331BB">
        <w:rPr>
          <w:rFonts w:ascii="Garamond" w:hAnsi="Garamond"/>
          <w:iCs/>
        </w:rPr>
        <w:t>zł</w:t>
      </w:r>
      <w:r w:rsidRPr="00A25813">
        <w:rPr>
          <w:rFonts w:ascii="Garamond" w:hAnsi="Garamond"/>
          <w:iCs/>
        </w:rPr>
        <w:t>) przewyższa kwotę, którą Zamawiający zamierza przeznaczyć na sfinansowanie zamówienia (</w:t>
      </w:r>
      <w:r w:rsidR="002331BB" w:rsidRPr="002331BB">
        <w:rPr>
          <w:rFonts w:ascii="Garamond" w:hAnsi="Garamond"/>
          <w:iCs/>
        </w:rPr>
        <w:t>15 122,76 zł</w:t>
      </w:r>
      <w:r w:rsidRPr="00A25813">
        <w:rPr>
          <w:rFonts w:ascii="Garamond" w:hAnsi="Garamond"/>
          <w:iCs/>
        </w:rPr>
        <w:t>), a Zamawiający nie może zwiększyć tej kwoty do ceny najkorzystniejszej oferty.</w:t>
      </w:r>
    </w:p>
    <w:p w:rsid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:rsidR="00A25813" w:rsidRP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A25813">
        <w:rPr>
          <w:rFonts w:ascii="Garamond" w:eastAsia="Times New Roman" w:hAnsi="Garamond" w:cs="Times New Roman"/>
          <w:u w:val="single"/>
          <w:lang w:eastAsia="pl-PL"/>
        </w:rPr>
        <w:t>Dotyczy części 21</w:t>
      </w:r>
    </w:p>
    <w:p w:rsidR="002331BB" w:rsidRPr="002331BB" w:rsidRDefault="002331BB" w:rsidP="002331BB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2331BB">
        <w:rPr>
          <w:rFonts w:ascii="Garamond" w:hAnsi="Garamond"/>
          <w:iCs/>
        </w:rPr>
        <w:t>Uzasadnienie prawne: art. 93 ust. 1 pkt  4 ustawy Prawo zamówień publicznych.</w:t>
      </w:r>
    </w:p>
    <w:p w:rsidR="00A25813" w:rsidRPr="00A25813" w:rsidRDefault="002331BB" w:rsidP="002331BB">
      <w:pPr>
        <w:spacing w:after="0" w:line="240" w:lineRule="auto"/>
        <w:ind w:left="284"/>
        <w:jc w:val="both"/>
        <w:rPr>
          <w:rFonts w:ascii="Garamond" w:hAnsi="Garamond"/>
        </w:rPr>
      </w:pPr>
      <w:r w:rsidRPr="002331BB">
        <w:rPr>
          <w:rFonts w:ascii="Garamond" w:hAnsi="Garamond"/>
          <w:iCs/>
        </w:rPr>
        <w:t>Uzasadnienie faktyczne: Postępowanie zostało unieważnione, gdyż ofer</w:t>
      </w:r>
      <w:r>
        <w:rPr>
          <w:rFonts w:ascii="Garamond" w:hAnsi="Garamond"/>
          <w:iCs/>
        </w:rPr>
        <w:t>ta z najniższą ceną (110 085,00 </w:t>
      </w:r>
      <w:r w:rsidRPr="002331BB">
        <w:rPr>
          <w:rFonts w:ascii="Garamond" w:hAnsi="Garamond"/>
          <w:iCs/>
        </w:rPr>
        <w:t>zł) przewyższa kwotę, którą Zamawiający zamierza przeznaczyć na sfinansowanie zamówienia (75 811,05 zł), a Zamawiający nie może zwiększyć tej kwoty do ceny najkorzystniejszej oferty.</w:t>
      </w:r>
    </w:p>
    <w:p w:rsidR="002331BB" w:rsidRDefault="002331BB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:rsidR="00A25813" w:rsidRP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A25813">
        <w:rPr>
          <w:rFonts w:ascii="Garamond" w:eastAsia="Times New Roman" w:hAnsi="Garamond" w:cs="Times New Roman"/>
          <w:u w:val="single"/>
          <w:lang w:eastAsia="pl-PL"/>
        </w:rPr>
        <w:t>Dotyczy części 22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prawne: art. 93 ust. 1 pkt  4 ustawy Prawo zamówień publicznych.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lastRenderedPageBreak/>
        <w:t>Uzasadnienie faktyczne: Postępowanie zostało unieważnione,</w:t>
      </w:r>
      <w:r w:rsidR="002331BB">
        <w:rPr>
          <w:rFonts w:ascii="Garamond" w:hAnsi="Garamond"/>
          <w:iCs/>
        </w:rPr>
        <w:t xml:space="preserve"> gdyż oferta z najniższą ceną (</w:t>
      </w:r>
      <w:r w:rsidR="002331BB" w:rsidRPr="002331BB">
        <w:rPr>
          <w:rFonts w:ascii="Garamond" w:hAnsi="Garamond"/>
          <w:iCs/>
        </w:rPr>
        <w:t>7 822,80 zł</w:t>
      </w:r>
      <w:r w:rsidRPr="00A25813">
        <w:rPr>
          <w:rFonts w:ascii="Garamond" w:hAnsi="Garamond"/>
          <w:iCs/>
        </w:rPr>
        <w:t>) przewyższa kwotę, którą Zamawiający zamierza przeznaczyć na sfinansowanie zamówienia (</w:t>
      </w:r>
      <w:r w:rsidR="002331BB">
        <w:rPr>
          <w:rFonts w:ascii="Garamond" w:hAnsi="Garamond"/>
          <w:iCs/>
        </w:rPr>
        <w:t>4 783,72 </w:t>
      </w:r>
      <w:r w:rsidR="002331BB" w:rsidRPr="002331BB">
        <w:rPr>
          <w:rFonts w:ascii="Garamond" w:hAnsi="Garamond"/>
          <w:iCs/>
        </w:rPr>
        <w:t>zł</w:t>
      </w:r>
      <w:r w:rsidRPr="00A25813">
        <w:rPr>
          <w:rFonts w:ascii="Garamond" w:hAnsi="Garamond"/>
          <w:iCs/>
        </w:rPr>
        <w:t>), a Zamawiający nie może zwiększyć tej kwoty do ceny najkorzystniejszej oferty.</w:t>
      </w:r>
    </w:p>
    <w:p w:rsidR="00A25813" w:rsidRPr="00A25813" w:rsidRDefault="00A25813" w:rsidP="00A25813">
      <w:pPr>
        <w:spacing w:after="0" w:line="240" w:lineRule="auto"/>
        <w:jc w:val="both"/>
        <w:rPr>
          <w:rFonts w:ascii="Garamond" w:hAnsi="Garamond"/>
        </w:rPr>
      </w:pPr>
    </w:p>
    <w:p w:rsidR="00A25813" w:rsidRPr="00A25813" w:rsidRDefault="00A25813" w:rsidP="00A25813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A25813">
        <w:rPr>
          <w:rFonts w:ascii="Garamond" w:eastAsia="Times New Roman" w:hAnsi="Garamond" w:cs="Times New Roman"/>
          <w:u w:val="single"/>
          <w:lang w:eastAsia="pl-PL"/>
        </w:rPr>
        <w:t>Dotyczy części 23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prawne: art. 93 ust. 1 pkt  4 ustawy Prawo zamówień publicznych.</w:t>
      </w:r>
    </w:p>
    <w:p w:rsidR="00A25813" w:rsidRPr="00A25813" w:rsidRDefault="00A25813" w:rsidP="00A25813">
      <w:pPr>
        <w:spacing w:after="0" w:line="240" w:lineRule="auto"/>
        <w:ind w:left="284"/>
        <w:jc w:val="both"/>
        <w:rPr>
          <w:rFonts w:ascii="Garamond" w:hAnsi="Garamond"/>
          <w:iCs/>
        </w:rPr>
      </w:pPr>
      <w:r w:rsidRPr="00A25813">
        <w:rPr>
          <w:rFonts w:ascii="Garamond" w:hAnsi="Garamond"/>
          <w:iCs/>
        </w:rPr>
        <w:t>Uzasadnienie faktyczne: Postępowanie zostało unieważnione, gdyż oferta z najniższą ceną (</w:t>
      </w:r>
      <w:r w:rsidR="002331BB">
        <w:rPr>
          <w:rFonts w:ascii="Garamond" w:hAnsi="Garamond"/>
          <w:iCs/>
        </w:rPr>
        <w:t>200 805,90 </w:t>
      </w:r>
      <w:r w:rsidR="002331BB" w:rsidRPr="002331BB">
        <w:rPr>
          <w:rFonts w:ascii="Garamond" w:hAnsi="Garamond"/>
          <w:iCs/>
        </w:rPr>
        <w:t>zł</w:t>
      </w:r>
      <w:r w:rsidRPr="00A25813">
        <w:rPr>
          <w:rFonts w:ascii="Garamond" w:hAnsi="Garamond"/>
          <w:iCs/>
        </w:rPr>
        <w:t>) przewyższa kwotę, którą Zamawiający zamierza przeznaczyć na sfinansowanie zamówienia (</w:t>
      </w:r>
      <w:r w:rsidR="002331BB" w:rsidRPr="002331BB">
        <w:rPr>
          <w:rFonts w:ascii="Garamond" w:hAnsi="Garamond"/>
          <w:iCs/>
        </w:rPr>
        <w:t>53 837,10 zł</w:t>
      </w:r>
      <w:r w:rsidRPr="00A25813">
        <w:rPr>
          <w:rFonts w:ascii="Garamond" w:hAnsi="Garamond"/>
          <w:iCs/>
        </w:rPr>
        <w:t>), a Zamawiający nie może zwiększyć tej kwoty do ceny najkorzystniejszej oferty.</w:t>
      </w: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11"/>
      <w:footerReference w:type="default" r:id="rId12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C1" w:rsidRDefault="00F902C1" w:rsidP="00E22E7B">
      <w:pPr>
        <w:spacing w:after="0" w:line="240" w:lineRule="auto"/>
      </w:pPr>
      <w:r>
        <w:separator/>
      </w:r>
    </w:p>
  </w:endnote>
  <w:endnote w:type="continuationSeparator" w:id="0">
    <w:p w:rsidR="00F902C1" w:rsidRDefault="00F902C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C1" w:rsidRDefault="00F902C1" w:rsidP="00E22E7B">
      <w:pPr>
        <w:spacing w:after="0" w:line="240" w:lineRule="auto"/>
      </w:pPr>
      <w:r>
        <w:separator/>
      </w:r>
    </w:p>
  </w:footnote>
  <w:footnote w:type="continuationSeparator" w:id="0">
    <w:p w:rsidR="00F902C1" w:rsidRDefault="00F902C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F0C25"/>
    <w:rsid w:val="00217BF4"/>
    <w:rsid w:val="002249ED"/>
    <w:rsid w:val="002331BB"/>
    <w:rsid w:val="00264323"/>
    <w:rsid w:val="00284FD2"/>
    <w:rsid w:val="00286CA8"/>
    <w:rsid w:val="00287692"/>
    <w:rsid w:val="002D207D"/>
    <w:rsid w:val="00303EF4"/>
    <w:rsid w:val="00315106"/>
    <w:rsid w:val="0031752E"/>
    <w:rsid w:val="00322800"/>
    <w:rsid w:val="00395D1E"/>
    <w:rsid w:val="003B6BF5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D1312"/>
    <w:rsid w:val="00600795"/>
    <w:rsid w:val="00614E90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2BA1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9025F0"/>
    <w:rsid w:val="00921B1E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E7446"/>
    <w:rsid w:val="00B33D42"/>
    <w:rsid w:val="00B44B9C"/>
    <w:rsid w:val="00B62F84"/>
    <w:rsid w:val="00B712EE"/>
    <w:rsid w:val="00B746FE"/>
    <w:rsid w:val="00B760A1"/>
    <w:rsid w:val="00BA667F"/>
    <w:rsid w:val="00BA67BB"/>
    <w:rsid w:val="00BD1D86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uzp.gov.pl/strona-glowna/slider-aktualnosci/brak-mozliwosci-uzyskania-dokumentu-dotyczacego-podstaw-wykluczenia-z-postepowania-o-udzielenie-zamowienia-publicznego-w-zwiazku-z-okolicznosciami-wywolanymi-epidemia-covid-19/brak-mozliwosci-uzyskania-dokumentu-dotyczacego-podstaw-wykluczenia-z-postepowania-o-udzielenie-zamowienia-publicznego-w-zwiazku-z-okolicznosciami-wywolanymi-epidemia-covid-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26</cp:revision>
  <cp:lastPrinted>2020-02-14T06:37:00Z</cp:lastPrinted>
  <dcterms:created xsi:type="dcterms:W3CDTF">2020-04-17T12:08:00Z</dcterms:created>
  <dcterms:modified xsi:type="dcterms:W3CDTF">2020-07-08T07:27:00Z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