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84FA3E" w14:textId="304397E4" w:rsidR="00296489" w:rsidRPr="00296489" w:rsidRDefault="0044092C" w:rsidP="00296489">
      <w:pPr>
        <w:jc w:val="both"/>
        <w:rPr>
          <w:rFonts w:ascii="Garamond" w:hAnsi="Garamond"/>
          <w:lang w:val="pl-PL"/>
        </w:rPr>
      </w:pPr>
      <w:r>
        <w:rPr>
          <w:rFonts w:ascii="Garamond" w:hAnsi="Garamond"/>
          <w:lang w:val="pl-PL"/>
        </w:rPr>
        <w:t>Nr sprawy: DFP.271.106</w:t>
      </w:r>
      <w:r w:rsidR="00296489" w:rsidRPr="00296489">
        <w:rPr>
          <w:rFonts w:ascii="Garamond" w:hAnsi="Garamond"/>
          <w:lang w:val="pl-PL"/>
        </w:rPr>
        <w:t>.2019</w:t>
      </w:r>
      <w:r w:rsidR="003F4FB4">
        <w:rPr>
          <w:rFonts w:ascii="Garamond" w:hAnsi="Garamond"/>
          <w:lang w:val="pl-PL"/>
        </w:rPr>
        <w:t xml:space="preserve">.KK </w:t>
      </w:r>
      <w:r w:rsidR="003F4FB4">
        <w:rPr>
          <w:rFonts w:ascii="Garamond" w:hAnsi="Garamond"/>
          <w:lang w:val="pl-PL"/>
        </w:rPr>
        <w:tab/>
      </w:r>
      <w:r w:rsidR="003F4FB4">
        <w:rPr>
          <w:rFonts w:ascii="Garamond" w:hAnsi="Garamond"/>
          <w:lang w:val="pl-PL"/>
        </w:rPr>
        <w:tab/>
      </w:r>
      <w:r w:rsidR="003F4FB4">
        <w:rPr>
          <w:rFonts w:ascii="Garamond" w:hAnsi="Garamond"/>
          <w:lang w:val="pl-PL"/>
        </w:rPr>
        <w:tab/>
      </w:r>
      <w:r w:rsidR="003F4FB4">
        <w:rPr>
          <w:rFonts w:ascii="Garamond" w:hAnsi="Garamond"/>
          <w:lang w:val="pl-PL"/>
        </w:rPr>
        <w:tab/>
      </w:r>
      <w:r w:rsidR="003F4FB4">
        <w:rPr>
          <w:rFonts w:ascii="Garamond" w:hAnsi="Garamond"/>
          <w:lang w:val="pl-PL"/>
        </w:rPr>
        <w:tab/>
        <w:t xml:space="preserve">  </w:t>
      </w:r>
      <w:r w:rsidR="00B1258A">
        <w:rPr>
          <w:rFonts w:ascii="Garamond" w:hAnsi="Garamond"/>
          <w:lang w:val="pl-PL"/>
        </w:rPr>
        <w:t xml:space="preserve">     </w:t>
      </w:r>
      <w:r w:rsidR="00296489" w:rsidRPr="00FA211F">
        <w:rPr>
          <w:rFonts w:ascii="Garamond" w:hAnsi="Garamond"/>
          <w:lang w:val="pl-PL"/>
        </w:rPr>
        <w:t xml:space="preserve">Kraków, dnia </w:t>
      </w:r>
      <w:r w:rsidR="00FA0567">
        <w:rPr>
          <w:rFonts w:ascii="Garamond" w:hAnsi="Garamond"/>
          <w:lang w:val="pl-PL"/>
        </w:rPr>
        <w:t>23.01</w:t>
      </w:r>
      <w:r w:rsidR="00AC37BF" w:rsidRPr="00FA211F">
        <w:rPr>
          <w:rFonts w:ascii="Garamond" w:hAnsi="Garamond"/>
          <w:lang w:val="pl-PL"/>
        </w:rPr>
        <w:t>.2020</w:t>
      </w:r>
      <w:r w:rsidR="00296489" w:rsidRPr="00FA211F">
        <w:rPr>
          <w:rFonts w:ascii="Garamond" w:hAnsi="Garamond"/>
          <w:lang w:val="pl-PL"/>
        </w:rPr>
        <w:t xml:space="preserve"> r.</w:t>
      </w:r>
    </w:p>
    <w:p w14:paraId="4880F816" w14:textId="77777777" w:rsidR="00296489" w:rsidRPr="00296489" w:rsidRDefault="00296489" w:rsidP="00296489">
      <w:pPr>
        <w:widowControl/>
        <w:jc w:val="both"/>
        <w:rPr>
          <w:rFonts w:ascii="Garamond" w:hAnsi="Garamond"/>
          <w:i/>
          <w:lang w:val="pl-PL"/>
        </w:rPr>
      </w:pPr>
    </w:p>
    <w:p w14:paraId="16BA3C7C" w14:textId="77777777" w:rsidR="00296489" w:rsidRPr="00296489" w:rsidRDefault="00296489" w:rsidP="00296489">
      <w:pPr>
        <w:widowControl/>
        <w:jc w:val="both"/>
        <w:rPr>
          <w:rFonts w:ascii="Garamond" w:hAnsi="Garamond"/>
          <w:i/>
          <w:lang w:val="pl-PL"/>
        </w:rPr>
      </w:pPr>
    </w:p>
    <w:p w14:paraId="01AF2862" w14:textId="77777777" w:rsidR="00296489" w:rsidRPr="00296489" w:rsidRDefault="00296489" w:rsidP="00296489">
      <w:pPr>
        <w:ind w:left="2832"/>
        <w:jc w:val="right"/>
        <w:rPr>
          <w:rFonts w:ascii="Garamond" w:hAnsi="Garamond"/>
          <w:b/>
          <w:bCs/>
          <w:i/>
          <w:u w:val="single"/>
          <w:lang w:val="pl-PL"/>
        </w:rPr>
      </w:pPr>
      <w:r w:rsidRPr="00296489">
        <w:rPr>
          <w:rFonts w:ascii="Garamond" w:hAnsi="Garamond"/>
          <w:b/>
          <w:bCs/>
          <w:i/>
          <w:u w:val="single"/>
          <w:lang w:val="pl-PL"/>
        </w:rPr>
        <w:t>Do wszystkich Wykonawców biorących udział w postępowaniu</w:t>
      </w:r>
    </w:p>
    <w:p w14:paraId="37ACE815" w14:textId="77777777" w:rsidR="00296489" w:rsidRPr="00296489" w:rsidRDefault="00296489" w:rsidP="00296489">
      <w:pPr>
        <w:ind w:left="2832"/>
        <w:jc w:val="both"/>
        <w:rPr>
          <w:rFonts w:ascii="Garamond" w:hAnsi="Garamond"/>
          <w:b/>
          <w:i/>
          <w:lang w:val="pl-PL"/>
        </w:rPr>
      </w:pPr>
    </w:p>
    <w:p w14:paraId="7F50351C" w14:textId="77777777" w:rsidR="00296489" w:rsidRPr="00296489" w:rsidRDefault="00296489" w:rsidP="00296489">
      <w:pPr>
        <w:widowControl/>
        <w:ind w:left="993" w:hanging="709"/>
        <w:jc w:val="both"/>
        <w:rPr>
          <w:rFonts w:ascii="Garamond" w:hAnsi="Garamond"/>
          <w:i/>
          <w:lang w:val="pl-PL"/>
        </w:rPr>
      </w:pPr>
    </w:p>
    <w:p w14:paraId="43126EF4" w14:textId="49313E77" w:rsidR="00296489" w:rsidRPr="00296489" w:rsidRDefault="00296489" w:rsidP="00296489">
      <w:pPr>
        <w:ind w:left="709" w:hanging="709"/>
        <w:jc w:val="both"/>
        <w:rPr>
          <w:rFonts w:ascii="Garamond" w:hAnsi="Garamond"/>
          <w:i/>
          <w:lang w:val="pl-PL"/>
        </w:rPr>
      </w:pPr>
      <w:r w:rsidRPr="00296489">
        <w:rPr>
          <w:rFonts w:ascii="Garamond" w:hAnsi="Garamond"/>
          <w:i/>
          <w:lang w:val="pl-PL"/>
        </w:rPr>
        <w:t>Dotyczy: postępowania o udzielenie za</w:t>
      </w:r>
      <w:r w:rsidR="0044092C">
        <w:rPr>
          <w:rFonts w:ascii="Garamond" w:hAnsi="Garamond"/>
          <w:i/>
          <w:lang w:val="pl-PL"/>
        </w:rPr>
        <w:t xml:space="preserve">mówienia publicznego na dostawę </w:t>
      </w:r>
      <w:r w:rsidR="0044092C" w:rsidRPr="0044092C">
        <w:rPr>
          <w:rFonts w:ascii="Garamond" w:hAnsi="Garamond"/>
          <w:i/>
          <w:lang w:val="pl-PL"/>
        </w:rPr>
        <w:t>produktów leczniczych, wyrobów medycznych dietetycznych środków specjalnego przeznaczenia medycznego, suplemen</w:t>
      </w:r>
      <w:r w:rsidR="0044092C">
        <w:rPr>
          <w:rFonts w:ascii="Garamond" w:hAnsi="Garamond"/>
          <w:i/>
          <w:lang w:val="pl-PL"/>
        </w:rPr>
        <w:t xml:space="preserve">tów diety, smoczków i artykułów </w:t>
      </w:r>
      <w:r w:rsidR="0044092C" w:rsidRPr="0044092C">
        <w:rPr>
          <w:rFonts w:ascii="Garamond" w:hAnsi="Garamond"/>
          <w:i/>
          <w:lang w:val="pl-PL"/>
        </w:rPr>
        <w:t>dla niemowląt do Apteki Szpitala Uniwersyteckiego w Krakowie.</w:t>
      </w:r>
    </w:p>
    <w:p w14:paraId="3537632E" w14:textId="77777777" w:rsidR="00296489" w:rsidRPr="00296489" w:rsidRDefault="00296489" w:rsidP="00296489">
      <w:pPr>
        <w:jc w:val="both"/>
        <w:rPr>
          <w:rFonts w:ascii="Garamond" w:hAnsi="Garamond"/>
          <w:lang w:val="pl-PL"/>
        </w:rPr>
      </w:pPr>
    </w:p>
    <w:p w14:paraId="3F024D48" w14:textId="77777777" w:rsidR="005268E3" w:rsidRDefault="005268E3" w:rsidP="00296489">
      <w:pPr>
        <w:ind w:firstLine="720"/>
        <w:jc w:val="both"/>
        <w:rPr>
          <w:rFonts w:ascii="Garamond" w:hAnsi="Garamond"/>
          <w:lang w:val="pl-PL"/>
        </w:rPr>
      </w:pPr>
    </w:p>
    <w:p w14:paraId="2BEB30A6" w14:textId="643ED2CB" w:rsidR="00D204DC" w:rsidRDefault="005268E3" w:rsidP="00D204DC">
      <w:pPr>
        <w:ind w:firstLine="720"/>
        <w:jc w:val="both"/>
        <w:rPr>
          <w:rFonts w:ascii="Garamond" w:hAnsi="Garamond"/>
          <w:lang w:val="pl-PL"/>
        </w:rPr>
      </w:pPr>
      <w:r w:rsidRPr="005268E3">
        <w:rPr>
          <w:rFonts w:ascii="Garamond" w:hAnsi="Garamond"/>
          <w:lang w:val="pl-PL"/>
        </w:rPr>
        <w:t xml:space="preserve">Działając na podstawie </w:t>
      </w:r>
      <w:r w:rsidR="00296489" w:rsidRPr="00FE29A4">
        <w:rPr>
          <w:rFonts w:ascii="Garamond" w:hAnsi="Garamond"/>
          <w:lang w:val="pl-PL"/>
        </w:rPr>
        <w:t xml:space="preserve">art. 38 ust. </w:t>
      </w:r>
      <w:r w:rsidR="00296489" w:rsidRPr="00FE29A4">
        <w:rPr>
          <w:rFonts w:ascii="Garamond" w:hAnsi="Garamond"/>
          <w:color w:val="000000"/>
          <w:lang w:val="pl-PL"/>
        </w:rPr>
        <w:t>4</w:t>
      </w:r>
      <w:r w:rsidR="00296489" w:rsidRPr="00FE29A4">
        <w:rPr>
          <w:rFonts w:ascii="Garamond" w:hAnsi="Garamond"/>
          <w:lang w:val="pl-PL"/>
        </w:rPr>
        <w:t xml:space="preserve"> ustawy Prawo zamówień publicznych </w:t>
      </w:r>
      <w:r w:rsidR="000463B3">
        <w:rPr>
          <w:rFonts w:ascii="Garamond" w:hAnsi="Garamond"/>
          <w:lang w:val="pl-PL"/>
        </w:rPr>
        <w:t xml:space="preserve">oraz realizując wyrok Krajowej Izby Odwoławczej z dnia 13 stycznia 2020 r. </w:t>
      </w:r>
      <w:r w:rsidR="00CE5A75">
        <w:rPr>
          <w:rFonts w:ascii="Garamond" w:hAnsi="Garamond"/>
          <w:lang w:val="pl-PL"/>
        </w:rPr>
        <w:t>Zamawiający modyfikuje treść</w:t>
      </w:r>
      <w:r w:rsidR="00296489" w:rsidRPr="00FE29A4">
        <w:rPr>
          <w:rFonts w:ascii="Garamond" w:hAnsi="Garamond"/>
          <w:lang w:val="pl-PL"/>
        </w:rPr>
        <w:t xml:space="preserve"> specyfikacji istotnych w</w:t>
      </w:r>
      <w:r w:rsidR="00CE5A75">
        <w:rPr>
          <w:rFonts w:ascii="Garamond" w:hAnsi="Garamond"/>
          <w:lang w:val="pl-PL"/>
        </w:rPr>
        <w:t xml:space="preserve">arunków zamówienia. </w:t>
      </w:r>
    </w:p>
    <w:p w14:paraId="65360083" w14:textId="180ED1BC" w:rsidR="00296489" w:rsidRPr="00D204DC" w:rsidRDefault="00D204DC" w:rsidP="005B262E">
      <w:pPr>
        <w:jc w:val="both"/>
        <w:rPr>
          <w:rFonts w:ascii="Garamond" w:hAnsi="Garamond"/>
          <w:lang w:val="pl-PL"/>
        </w:rPr>
      </w:pPr>
      <w:r w:rsidRPr="00D204DC">
        <w:rPr>
          <w:rFonts w:ascii="Garamond" w:hAnsi="Garamond"/>
          <w:lang w:val="pl-PL"/>
        </w:rPr>
        <w:t xml:space="preserve">Poniżej przedstawiam </w:t>
      </w:r>
      <w:r>
        <w:rPr>
          <w:rFonts w:ascii="Garamond" w:hAnsi="Garamond"/>
          <w:lang w:val="pl-PL"/>
        </w:rPr>
        <w:t>zmienioną,</w:t>
      </w:r>
      <w:r w:rsidRPr="00D204DC">
        <w:rPr>
          <w:rFonts w:ascii="Garamond" w:hAnsi="Garamond"/>
          <w:lang w:val="pl-PL"/>
        </w:rPr>
        <w:t xml:space="preserve"> obowiązującą </w:t>
      </w:r>
      <w:r>
        <w:rPr>
          <w:rFonts w:ascii="Garamond" w:hAnsi="Garamond"/>
          <w:lang w:val="pl-PL"/>
        </w:rPr>
        <w:t xml:space="preserve">treść </w:t>
      </w:r>
      <w:r w:rsidRPr="00D204DC">
        <w:rPr>
          <w:rFonts w:ascii="Garamond" w:hAnsi="Garamond"/>
          <w:lang w:val="pl-PL"/>
        </w:rPr>
        <w:t>specyfikacj</w:t>
      </w:r>
      <w:r>
        <w:rPr>
          <w:rFonts w:ascii="Garamond" w:hAnsi="Garamond"/>
          <w:lang w:val="pl-PL"/>
        </w:rPr>
        <w:t xml:space="preserve">i istotnych warunków zamówienia. </w:t>
      </w:r>
    </w:p>
    <w:p w14:paraId="08173970" w14:textId="0AABB2ED" w:rsidR="00D204DC" w:rsidRDefault="00D204DC" w:rsidP="005268E3">
      <w:pPr>
        <w:widowControl/>
        <w:tabs>
          <w:tab w:val="left" w:pos="0"/>
        </w:tabs>
        <w:jc w:val="both"/>
        <w:rPr>
          <w:rFonts w:ascii="Garamond" w:eastAsia="Times New Roman" w:hAnsi="Garamond" w:cs="Arial"/>
          <w:b/>
          <w:u w:val="single"/>
          <w:lang w:val="pl-PL" w:eastAsia="pl-PL"/>
        </w:rPr>
      </w:pPr>
    </w:p>
    <w:p w14:paraId="1AFBEA84" w14:textId="0A788A7B" w:rsidR="005268E3" w:rsidRDefault="005268E3" w:rsidP="005268E3">
      <w:pPr>
        <w:widowControl/>
        <w:tabs>
          <w:tab w:val="left" w:pos="0"/>
        </w:tabs>
        <w:jc w:val="both"/>
        <w:rPr>
          <w:rFonts w:ascii="Garamond" w:eastAsia="Times New Roman" w:hAnsi="Garamond" w:cs="Arial"/>
          <w:b/>
          <w:u w:val="single"/>
          <w:lang w:val="pl-PL" w:eastAsia="pl-PL"/>
        </w:rPr>
      </w:pPr>
      <w:r w:rsidRPr="00D204DC">
        <w:rPr>
          <w:rFonts w:ascii="Garamond" w:eastAsia="Times New Roman" w:hAnsi="Garamond" w:cs="Arial"/>
          <w:b/>
          <w:u w:val="single"/>
          <w:lang w:val="pl-PL" w:eastAsia="pl-PL"/>
        </w:rPr>
        <w:t>I. Specyfikacja</w:t>
      </w:r>
      <w:r w:rsidR="00D204DC" w:rsidRPr="00D204DC">
        <w:rPr>
          <w:rFonts w:ascii="Garamond" w:eastAsia="Times New Roman" w:hAnsi="Garamond" w:cs="Arial"/>
          <w:b/>
          <w:u w:val="single"/>
          <w:lang w:val="pl-PL" w:eastAsia="pl-PL"/>
        </w:rPr>
        <w:t xml:space="preserve"> istotnych warunków zamówienia:</w:t>
      </w:r>
    </w:p>
    <w:p w14:paraId="0251796B" w14:textId="3521BABF" w:rsidR="00D204DC" w:rsidRPr="001D6159" w:rsidRDefault="001D6159" w:rsidP="00D204DC">
      <w:pPr>
        <w:widowControl/>
        <w:tabs>
          <w:tab w:val="left" w:pos="0"/>
        </w:tabs>
        <w:jc w:val="both"/>
        <w:rPr>
          <w:rFonts w:ascii="Garamond" w:eastAsia="Times New Roman" w:hAnsi="Garamond" w:cs="Arial"/>
          <w:b/>
          <w:u w:val="single"/>
          <w:lang w:val="pl-PL" w:eastAsia="pl-PL"/>
        </w:rPr>
      </w:pPr>
      <w:r w:rsidRPr="001D6159">
        <w:rPr>
          <w:rFonts w:ascii="Garamond" w:eastAsia="Times New Roman" w:hAnsi="Garamond" w:cs="Arial"/>
          <w:b/>
          <w:u w:val="single"/>
          <w:lang w:val="pl-PL" w:eastAsia="pl-PL"/>
        </w:rPr>
        <w:t>pkt. 13</w:t>
      </w:r>
    </w:p>
    <w:p w14:paraId="12A9B6F4" w14:textId="77777777" w:rsidR="00FA0567" w:rsidRDefault="00065CA7" w:rsidP="00FA0567">
      <w:pPr>
        <w:widowControl/>
        <w:tabs>
          <w:tab w:val="left" w:pos="0"/>
        </w:tabs>
        <w:jc w:val="both"/>
        <w:rPr>
          <w:rFonts w:ascii="Garamond" w:hAnsi="Garamond"/>
          <w:color w:val="000000"/>
          <w:lang w:val="pl-PL"/>
        </w:rPr>
      </w:pPr>
      <w:r w:rsidRPr="00065CA7">
        <w:rPr>
          <w:rFonts w:ascii="Garamond" w:hAnsi="Garamond"/>
          <w:color w:val="000000"/>
          <w:u w:val="single"/>
          <w:lang w:val="pl-PL"/>
        </w:rPr>
        <w:t>W zakresie części 23:</w:t>
      </w:r>
      <w:r w:rsidRPr="00065CA7">
        <w:rPr>
          <w:rFonts w:ascii="Garamond" w:hAnsi="Garamond"/>
          <w:color w:val="000000"/>
          <w:lang w:val="pl-PL"/>
        </w:rPr>
        <w:t xml:space="preserve"> </w:t>
      </w:r>
    </w:p>
    <w:p w14:paraId="5CE11A4E" w14:textId="4A5AA646" w:rsidR="001D6159" w:rsidRPr="001D6159" w:rsidRDefault="001D6159" w:rsidP="00FA0567">
      <w:pPr>
        <w:widowControl/>
        <w:tabs>
          <w:tab w:val="left" w:pos="0"/>
        </w:tabs>
        <w:jc w:val="both"/>
        <w:rPr>
          <w:rFonts w:ascii="Garamond" w:hAnsi="Garamond"/>
          <w:color w:val="000000"/>
          <w:lang w:val="pl-PL"/>
        </w:rPr>
      </w:pPr>
      <w:r w:rsidRPr="001D6159">
        <w:rPr>
          <w:rFonts w:ascii="Garamond" w:eastAsia="Times New Roman" w:hAnsi="Garamond"/>
          <w:bCs/>
          <w:lang w:val="pl-PL" w:eastAsia="pl-PL"/>
        </w:rPr>
        <w:t>W części: 23 oferty będą ocenianie wg następujących kryteriów:</w:t>
      </w:r>
    </w:p>
    <w:tbl>
      <w:tblPr>
        <w:tblW w:w="900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6378"/>
        <w:gridCol w:w="1209"/>
      </w:tblGrid>
      <w:tr w:rsidR="001D6159" w:rsidRPr="001D6159" w14:paraId="527F894A" w14:textId="77777777" w:rsidTr="00FA0567">
        <w:trPr>
          <w:trHeight w:val="280"/>
        </w:trPr>
        <w:tc>
          <w:tcPr>
            <w:tcW w:w="1418" w:type="dxa"/>
            <w:tcBorders>
              <w:bottom w:val="single" w:sz="4" w:space="0" w:color="auto"/>
            </w:tcBorders>
          </w:tcPr>
          <w:p w14:paraId="42BB1CFE" w14:textId="77777777" w:rsidR="001D6159" w:rsidRPr="001D6159" w:rsidRDefault="001D6159" w:rsidP="00FA0567">
            <w:pPr>
              <w:widowControl/>
              <w:jc w:val="center"/>
              <w:rPr>
                <w:rFonts w:ascii="Garamond" w:eastAsia="Times New Roman" w:hAnsi="Garamond"/>
                <w:bCs/>
                <w:lang w:val="pl-PL" w:eastAsia="pl-PL"/>
              </w:rPr>
            </w:pPr>
            <w:r w:rsidRPr="001D6159">
              <w:rPr>
                <w:rFonts w:ascii="Garamond" w:eastAsia="Times New Roman" w:hAnsi="Garamond"/>
                <w:bCs/>
                <w:lang w:val="pl-PL" w:eastAsia="pl-PL"/>
              </w:rPr>
              <w:t>Kryterium</w:t>
            </w:r>
          </w:p>
        </w:tc>
        <w:tc>
          <w:tcPr>
            <w:tcW w:w="6378" w:type="dxa"/>
          </w:tcPr>
          <w:p w14:paraId="1F542361" w14:textId="77777777" w:rsidR="001D6159" w:rsidRPr="001D6159" w:rsidRDefault="001D6159" w:rsidP="00FA0567">
            <w:pPr>
              <w:widowControl/>
              <w:jc w:val="center"/>
              <w:rPr>
                <w:rFonts w:ascii="Garamond" w:eastAsia="Times New Roman" w:hAnsi="Garamond"/>
                <w:bCs/>
                <w:lang w:val="pl-PL" w:eastAsia="pl-PL"/>
              </w:rPr>
            </w:pPr>
            <w:r w:rsidRPr="001D6159">
              <w:rPr>
                <w:rFonts w:ascii="Garamond" w:eastAsia="Times New Roman" w:hAnsi="Garamond"/>
                <w:bCs/>
                <w:lang w:val="pl-PL" w:eastAsia="pl-PL"/>
              </w:rPr>
              <w:t>Sposób oceny ofert:</w:t>
            </w:r>
          </w:p>
        </w:tc>
        <w:tc>
          <w:tcPr>
            <w:tcW w:w="1209" w:type="dxa"/>
          </w:tcPr>
          <w:p w14:paraId="79DDF150" w14:textId="77777777" w:rsidR="001D6159" w:rsidRPr="001D6159" w:rsidRDefault="001D6159" w:rsidP="00FA0567">
            <w:pPr>
              <w:widowControl/>
              <w:jc w:val="center"/>
              <w:rPr>
                <w:rFonts w:ascii="Garamond" w:eastAsia="Times New Roman" w:hAnsi="Garamond"/>
                <w:bCs/>
                <w:lang w:val="pl-PL" w:eastAsia="pl-PL"/>
              </w:rPr>
            </w:pPr>
            <w:r w:rsidRPr="001D6159">
              <w:rPr>
                <w:rFonts w:ascii="Garamond" w:eastAsia="Times New Roman" w:hAnsi="Garamond"/>
                <w:bCs/>
                <w:lang w:val="pl-PL" w:eastAsia="pl-PL"/>
              </w:rPr>
              <w:t>Waga</w:t>
            </w:r>
          </w:p>
        </w:tc>
      </w:tr>
      <w:tr w:rsidR="001D6159" w:rsidRPr="001D6159" w14:paraId="303F94D0" w14:textId="77777777" w:rsidTr="00FA0567">
        <w:trPr>
          <w:trHeight w:val="144"/>
        </w:trPr>
        <w:tc>
          <w:tcPr>
            <w:tcW w:w="1418" w:type="dxa"/>
          </w:tcPr>
          <w:p w14:paraId="01C2C636" w14:textId="77777777" w:rsidR="001D6159" w:rsidRPr="001D6159" w:rsidRDefault="001D6159" w:rsidP="001D6159">
            <w:pPr>
              <w:widowControl/>
              <w:jc w:val="center"/>
              <w:rPr>
                <w:rFonts w:ascii="Garamond" w:eastAsia="Times New Roman" w:hAnsi="Garamond"/>
                <w:bCs/>
                <w:lang w:val="pl-PL" w:eastAsia="pl-PL"/>
              </w:rPr>
            </w:pPr>
            <w:r w:rsidRPr="001D6159">
              <w:rPr>
                <w:rFonts w:ascii="Garamond" w:eastAsia="Times New Roman" w:hAnsi="Garamond"/>
                <w:bCs/>
                <w:lang w:val="pl-PL" w:eastAsia="pl-PL"/>
              </w:rPr>
              <w:t>Cena</w:t>
            </w:r>
          </w:p>
        </w:tc>
        <w:tc>
          <w:tcPr>
            <w:tcW w:w="6378" w:type="dxa"/>
          </w:tcPr>
          <w:p w14:paraId="283AAF6E" w14:textId="55DF5979" w:rsidR="001D6159" w:rsidRPr="001D6159" w:rsidRDefault="001D6159" w:rsidP="001D6159">
            <w:pPr>
              <w:widowControl/>
              <w:jc w:val="both"/>
              <w:rPr>
                <w:rFonts w:ascii="Garamond" w:eastAsia="Times New Roman" w:hAnsi="Garamond"/>
                <w:bCs/>
                <w:lang w:val="pl-PL" w:eastAsia="pl-PL"/>
              </w:rPr>
            </w:pPr>
            <w:r w:rsidRPr="001D6159">
              <w:rPr>
                <w:rFonts w:ascii="Garamond" w:eastAsia="Times New Roman" w:hAnsi="Garamond"/>
                <w:bCs/>
                <w:lang w:val="pl-PL" w:eastAsia="pl-PL"/>
              </w:rPr>
              <w:t xml:space="preserve">Liczba punktów uzyskanych w kryterium </w:t>
            </w:r>
            <w:r w:rsidR="00FA0567">
              <w:rPr>
                <w:rFonts w:ascii="Garamond" w:eastAsia="Times New Roman" w:hAnsi="Garamond"/>
                <w:bCs/>
                <w:lang w:val="pl-PL" w:eastAsia="pl-PL"/>
              </w:rPr>
              <w:t>cena będzie obliczana zgodnie z </w:t>
            </w:r>
            <w:r w:rsidRPr="001D6159">
              <w:rPr>
                <w:rFonts w:ascii="Garamond" w:eastAsia="Times New Roman" w:hAnsi="Garamond"/>
                <w:bCs/>
                <w:lang w:val="pl-PL" w:eastAsia="pl-PL"/>
              </w:rPr>
              <w:t>poniższym wzorem:</w:t>
            </w:r>
          </w:p>
          <w:p w14:paraId="6E68D013" w14:textId="77777777" w:rsidR="001D6159" w:rsidRPr="001D6159" w:rsidRDefault="001D6159" w:rsidP="001D6159">
            <w:pPr>
              <w:widowControl/>
              <w:jc w:val="both"/>
              <w:rPr>
                <w:rFonts w:ascii="Garamond" w:eastAsia="Times New Roman" w:hAnsi="Garamond"/>
                <w:bCs/>
                <w:lang w:val="pl-PL" w:eastAsia="pl-PL"/>
              </w:rPr>
            </w:pPr>
          </w:p>
          <w:p w14:paraId="460353D3" w14:textId="150D5A9D" w:rsidR="001D6159" w:rsidRPr="001D6159" w:rsidRDefault="001D6159" w:rsidP="001D6159">
            <w:pPr>
              <w:widowControl/>
              <w:jc w:val="both"/>
              <w:rPr>
                <w:rFonts w:ascii="Garamond" w:eastAsia="Times New Roman" w:hAnsi="Garamond"/>
                <w:bCs/>
                <w:lang w:val="pl-PL" w:eastAsia="pl-PL"/>
              </w:rPr>
            </w:pPr>
            <w:r w:rsidRPr="001D6159">
              <w:rPr>
                <w:rFonts w:ascii="Garamond" w:eastAsia="Times New Roman" w:hAnsi="Garamond"/>
                <w:bCs/>
                <w:lang w:val="pl-PL" w:eastAsia="pl-PL"/>
              </w:rPr>
              <w:t>Liczb</w:t>
            </w:r>
            <w:r w:rsidR="000463B3">
              <w:rPr>
                <w:rFonts w:ascii="Garamond" w:eastAsia="Times New Roman" w:hAnsi="Garamond"/>
                <w:bCs/>
                <w:lang w:val="pl-PL" w:eastAsia="pl-PL"/>
              </w:rPr>
              <w:t>a punktów = ( A(min)/A(i) ) * 95</w:t>
            </w:r>
          </w:p>
          <w:p w14:paraId="08B3A74A" w14:textId="77777777" w:rsidR="001D6159" w:rsidRPr="001D6159" w:rsidRDefault="001D6159" w:rsidP="001D6159">
            <w:pPr>
              <w:widowControl/>
              <w:jc w:val="both"/>
              <w:rPr>
                <w:rFonts w:ascii="Garamond" w:eastAsia="Times New Roman" w:hAnsi="Garamond"/>
                <w:bCs/>
                <w:lang w:val="pl-PL" w:eastAsia="pl-PL"/>
              </w:rPr>
            </w:pPr>
            <w:r w:rsidRPr="001D6159">
              <w:rPr>
                <w:rFonts w:ascii="Garamond" w:eastAsia="Times New Roman" w:hAnsi="Garamond"/>
                <w:bCs/>
                <w:lang w:val="pl-PL" w:eastAsia="pl-PL"/>
              </w:rPr>
              <w:t>gdzie:</w:t>
            </w:r>
          </w:p>
          <w:p w14:paraId="6F2568FE" w14:textId="77777777" w:rsidR="001D6159" w:rsidRPr="001D6159" w:rsidRDefault="001D6159" w:rsidP="001D6159">
            <w:pPr>
              <w:widowControl/>
              <w:jc w:val="both"/>
              <w:rPr>
                <w:rFonts w:ascii="Garamond" w:eastAsia="Times New Roman" w:hAnsi="Garamond"/>
                <w:bCs/>
                <w:lang w:val="pl-PL" w:eastAsia="pl-PL"/>
              </w:rPr>
            </w:pPr>
            <w:r w:rsidRPr="001D6159">
              <w:rPr>
                <w:rFonts w:ascii="Garamond" w:eastAsia="Times New Roman" w:hAnsi="Garamond"/>
                <w:bCs/>
                <w:lang w:val="pl-PL" w:eastAsia="pl-PL"/>
              </w:rPr>
              <w:t>- A(min) - najniższa cena spośród wszystkich ofert ocenianych</w:t>
            </w:r>
          </w:p>
          <w:p w14:paraId="0939D170" w14:textId="77777777" w:rsidR="001D6159" w:rsidRPr="001D6159" w:rsidRDefault="001D6159" w:rsidP="001D6159">
            <w:pPr>
              <w:widowControl/>
              <w:rPr>
                <w:rFonts w:ascii="Garamond" w:eastAsia="Times New Roman" w:hAnsi="Garamond"/>
                <w:bCs/>
                <w:lang w:val="pl-PL" w:eastAsia="pl-PL"/>
              </w:rPr>
            </w:pPr>
            <w:r w:rsidRPr="001D6159">
              <w:rPr>
                <w:rFonts w:ascii="Garamond" w:eastAsia="Times New Roman" w:hAnsi="Garamond"/>
                <w:bCs/>
                <w:lang w:val="pl-PL" w:eastAsia="pl-PL"/>
              </w:rPr>
              <w:t>- A(i) - cena podana w ofercie ocenianej</w:t>
            </w:r>
          </w:p>
        </w:tc>
        <w:tc>
          <w:tcPr>
            <w:tcW w:w="1209" w:type="dxa"/>
          </w:tcPr>
          <w:p w14:paraId="0A245E3A" w14:textId="6EBC1801" w:rsidR="001D6159" w:rsidRPr="001D6159" w:rsidRDefault="005764B4" w:rsidP="001D6159">
            <w:pPr>
              <w:widowControl/>
              <w:jc w:val="center"/>
              <w:rPr>
                <w:rFonts w:ascii="Garamond" w:eastAsia="Times New Roman" w:hAnsi="Garamond"/>
                <w:bCs/>
                <w:lang w:val="pl-PL" w:eastAsia="pl-PL"/>
              </w:rPr>
            </w:pPr>
            <w:r w:rsidRPr="00FE1797">
              <w:rPr>
                <w:rFonts w:ascii="Garamond" w:eastAsia="Times New Roman" w:hAnsi="Garamond"/>
                <w:bCs/>
                <w:color w:val="FF0000"/>
                <w:lang w:val="pl-PL" w:eastAsia="pl-PL"/>
              </w:rPr>
              <w:t>95</w:t>
            </w:r>
            <w:r w:rsidR="001D6159" w:rsidRPr="001D6159">
              <w:rPr>
                <w:rFonts w:ascii="Garamond" w:eastAsia="Times New Roman" w:hAnsi="Garamond"/>
                <w:bCs/>
                <w:color w:val="FF0000"/>
                <w:lang w:val="pl-PL" w:eastAsia="pl-PL"/>
              </w:rPr>
              <w:t xml:space="preserve"> %</w:t>
            </w:r>
          </w:p>
        </w:tc>
      </w:tr>
      <w:tr w:rsidR="001D6159" w:rsidRPr="001D6159" w14:paraId="0B4A00DA" w14:textId="77777777" w:rsidTr="00FA0567">
        <w:trPr>
          <w:trHeight w:val="1170"/>
        </w:trPr>
        <w:tc>
          <w:tcPr>
            <w:tcW w:w="1418" w:type="dxa"/>
          </w:tcPr>
          <w:p w14:paraId="123CBCD1" w14:textId="77777777" w:rsidR="001D6159" w:rsidRPr="001D6159" w:rsidRDefault="001D6159" w:rsidP="001D6159">
            <w:pPr>
              <w:widowControl/>
              <w:jc w:val="center"/>
              <w:rPr>
                <w:rFonts w:ascii="Garamond" w:eastAsia="Times New Roman" w:hAnsi="Garamond"/>
                <w:bCs/>
                <w:lang w:val="pl-PL" w:eastAsia="pl-PL"/>
              </w:rPr>
            </w:pPr>
            <w:r w:rsidRPr="001D6159">
              <w:rPr>
                <w:rFonts w:ascii="Garamond" w:eastAsia="Times New Roman" w:hAnsi="Garamond"/>
                <w:bCs/>
                <w:lang w:val="pl-PL" w:eastAsia="pl-PL"/>
              </w:rPr>
              <w:t xml:space="preserve"> Jakość (A)</w:t>
            </w:r>
          </w:p>
        </w:tc>
        <w:tc>
          <w:tcPr>
            <w:tcW w:w="6378" w:type="dxa"/>
          </w:tcPr>
          <w:p w14:paraId="3F245BD1" w14:textId="77777777" w:rsidR="001D6159" w:rsidRPr="001D6159" w:rsidRDefault="001D6159" w:rsidP="001D6159">
            <w:pPr>
              <w:widowControl/>
              <w:jc w:val="both"/>
              <w:rPr>
                <w:rFonts w:ascii="Garamond" w:eastAsia="Times New Roman" w:hAnsi="Garamond"/>
                <w:bCs/>
                <w:lang w:val="pl-PL" w:eastAsia="pl-PL"/>
              </w:rPr>
            </w:pPr>
            <w:r w:rsidRPr="001D6159">
              <w:rPr>
                <w:rFonts w:ascii="Garamond" w:eastAsia="Times New Roman" w:hAnsi="Garamond"/>
                <w:bCs/>
                <w:lang w:val="pl-PL" w:eastAsia="pl-PL"/>
              </w:rPr>
              <w:t>Liczba punktów uzyskanych w kryterium jakość będzie obliczana zgodnie z poniższym wzorem:</w:t>
            </w:r>
          </w:p>
          <w:p w14:paraId="70E33C1C" w14:textId="77777777" w:rsidR="001D6159" w:rsidRPr="001D6159" w:rsidRDefault="001D6159" w:rsidP="001D6159">
            <w:pPr>
              <w:widowControl/>
              <w:jc w:val="both"/>
              <w:rPr>
                <w:rFonts w:ascii="Garamond" w:eastAsia="Times New Roman" w:hAnsi="Garamond"/>
                <w:bCs/>
                <w:lang w:val="pl-PL" w:eastAsia="pl-PL"/>
              </w:rPr>
            </w:pPr>
          </w:p>
          <w:p w14:paraId="5886008C" w14:textId="77777777" w:rsidR="001D6159" w:rsidRPr="001D6159" w:rsidRDefault="001D6159" w:rsidP="001D6159">
            <w:pPr>
              <w:widowControl/>
              <w:jc w:val="both"/>
              <w:rPr>
                <w:rFonts w:ascii="Garamond" w:eastAsia="Times New Roman" w:hAnsi="Garamond"/>
                <w:bCs/>
                <w:lang w:val="pl-PL" w:eastAsia="pl-PL"/>
              </w:rPr>
            </w:pPr>
            <w:r w:rsidRPr="001D6159">
              <w:rPr>
                <w:rFonts w:ascii="Garamond" w:eastAsia="Times New Roman" w:hAnsi="Garamond"/>
                <w:bCs/>
                <w:lang w:val="pl-PL" w:eastAsia="pl-PL"/>
              </w:rPr>
              <w:t>Liczba punktów = BA(i)</w:t>
            </w:r>
          </w:p>
          <w:p w14:paraId="27CFD6CC" w14:textId="77777777" w:rsidR="001D6159" w:rsidRPr="001D6159" w:rsidRDefault="001D6159" w:rsidP="001D6159">
            <w:pPr>
              <w:widowControl/>
              <w:jc w:val="both"/>
              <w:rPr>
                <w:rFonts w:ascii="Garamond" w:eastAsia="Times New Roman" w:hAnsi="Garamond"/>
                <w:bCs/>
                <w:lang w:val="pl-PL" w:eastAsia="pl-PL"/>
              </w:rPr>
            </w:pPr>
            <w:r w:rsidRPr="001D6159">
              <w:rPr>
                <w:rFonts w:ascii="Garamond" w:eastAsia="Times New Roman" w:hAnsi="Garamond"/>
                <w:bCs/>
                <w:lang w:val="pl-PL" w:eastAsia="pl-PL"/>
              </w:rPr>
              <w:t>gdzie:</w:t>
            </w:r>
          </w:p>
          <w:p w14:paraId="6B702513" w14:textId="77777777" w:rsidR="001D6159" w:rsidRPr="001D6159" w:rsidRDefault="001D6159" w:rsidP="001D6159">
            <w:pPr>
              <w:widowControl/>
              <w:jc w:val="both"/>
              <w:rPr>
                <w:rFonts w:ascii="Garamond" w:eastAsia="Times New Roman" w:hAnsi="Garamond"/>
                <w:bCs/>
                <w:lang w:val="pl-PL" w:eastAsia="pl-PL"/>
              </w:rPr>
            </w:pPr>
            <w:r w:rsidRPr="001D6159">
              <w:rPr>
                <w:rFonts w:ascii="Garamond" w:eastAsia="Times New Roman" w:hAnsi="Garamond"/>
                <w:bCs/>
                <w:lang w:val="pl-PL" w:eastAsia="pl-PL"/>
              </w:rPr>
              <w:t>- BA(i)</w:t>
            </w:r>
            <w:r w:rsidRPr="001D6159">
              <w:rPr>
                <w:rFonts w:ascii="Garamond" w:eastAsia="Times New Roman" w:hAnsi="Garamond"/>
                <w:bCs/>
                <w:vertAlign w:val="subscript"/>
                <w:lang w:val="pl-PL" w:eastAsia="pl-PL"/>
              </w:rPr>
              <w:t xml:space="preserve"> </w:t>
            </w:r>
            <w:r w:rsidRPr="001D6159">
              <w:rPr>
                <w:rFonts w:ascii="Garamond" w:eastAsia="Times New Roman" w:hAnsi="Garamond"/>
                <w:bCs/>
                <w:lang w:val="pl-PL" w:eastAsia="pl-PL"/>
              </w:rPr>
              <w:t xml:space="preserve">- liczba punktów otrzymanych przez ocenianą ofertę za jakość (przyznana w oparciu o sposób oceny podany poniżej) </w:t>
            </w:r>
          </w:p>
        </w:tc>
        <w:tc>
          <w:tcPr>
            <w:tcW w:w="1209" w:type="dxa"/>
          </w:tcPr>
          <w:p w14:paraId="484B495B" w14:textId="77777777" w:rsidR="001D6159" w:rsidRPr="001D6159" w:rsidRDefault="001D6159" w:rsidP="001D6159">
            <w:pPr>
              <w:widowControl/>
              <w:jc w:val="center"/>
              <w:rPr>
                <w:rFonts w:ascii="Garamond" w:eastAsia="Times New Roman" w:hAnsi="Garamond"/>
                <w:bCs/>
                <w:lang w:val="pl-PL" w:eastAsia="pl-PL"/>
              </w:rPr>
            </w:pPr>
            <w:r w:rsidRPr="001D6159">
              <w:rPr>
                <w:rFonts w:ascii="Garamond" w:eastAsia="Times New Roman" w:hAnsi="Garamond"/>
                <w:bCs/>
                <w:lang w:val="pl-PL" w:eastAsia="pl-PL"/>
              </w:rPr>
              <w:t>5 %</w:t>
            </w:r>
          </w:p>
        </w:tc>
      </w:tr>
      <w:tr w:rsidR="001D6159" w:rsidRPr="001D6159" w14:paraId="28C94131" w14:textId="77777777" w:rsidTr="00FA0567">
        <w:trPr>
          <w:trHeight w:val="1170"/>
        </w:trPr>
        <w:tc>
          <w:tcPr>
            <w:tcW w:w="1418" w:type="dxa"/>
          </w:tcPr>
          <w:p w14:paraId="310F680A" w14:textId="77777777" w:rsidR="001D6159" w:rsidRPr="001D6159" w:rsidRDefault="001D6159" w:rsidP="001D6159">
            <w:pPr>
              <w:widowControl/>
              <w:jc w:val="center"/>
              <w:rPr>
                <w:rFonts w:ascii="Garamond" w:eastAsia="Times New Roman" w:hAnsi="Garamond"/>
                <w:bCs/>
                <w:strike/>
                <w:color w:val="FF0000"/>
                <w:lang w:val="pl-PL" w:eastAsia="pl-PL"/>
              </w:rPr>
            </w:pPr>
            <w:r w:rsidRPr="001D6159">
              <w:rPr>
                <w:rFonts w:ascii="Garamond" w:eastAsia="Times New Roman" w:hAnsi="Garamond"/>
                <w:b/>
                <w:bCs/>
                <w:strike/>
                <w:color w:val="FF0000"/>
                <w:lang w:val="pl-PL" w:eastAsia="pl-PL"/>
              </w:rPr>
              <w:t xml:space="preserve"> </w:t>
            </w:r>
            <w:r w:rsidRPr="001D6159">
              <w:rPr>
                <w:rFonts w:ascii="Garamond" w:eastAsia="Times New Roman" w:hAnsi="Garamond"/>
                <w:bCs/>
                <w:strike/>
                <w:color w:val="FF0000"/>
                <w:lang w:val="pl-PL" w:eastAsia="pl-PL"/>
              </w:rPr>
              <w:t>Jakość (B)</w:t>
            </w:r>
          </w:p>
        </w:tc>
        <w:tc>
          <w:tcPr>
            <w:tcW w:w="6378" w:type="dxa"/>
          </w:tcPr>
          <w:p w14:paraId="37170DFE" w14:textId="77777777" w:rsidR="001D6159" w:rsidRPr="001D6159" w:rsidRDefault="001D6159" w:rsidP="001D6159">
            <w:pPr>
              <w:widowControl/>
              <w:jc w:val="both"/>
              <w:rPr>
                <w:rFonts w:ascii="Garamond" w:eastAsia="Times New Roman" w:hAnsi="Garamond"/>
                <w:bCs/>
                <w:strike/>
                <w:color w:val="FF0000"/>
                <w:lang w:val="pl-PL" w:eastAsia="pl-PL"/>
              </w:rPr>
            </w:pPr>
            <w:r w:rsidRPr="001D6159">
              <w:rPr>
                <w:rFonts w:ascii="Garamond" w:eastAsia="Times New Roman" w:hAnsi="Garamond"/>
                <w:bCs/>
                <w:strike/>
                <w:color w:val="FF0000"/>
                <w:lang w:val="pl-PL" w:eastAsia="pl-PL"/>
              </w:rPr>
              <w:t>Liczba punktów uzyskanych w kryterium jakość będzie obliczana zgodnie z poniższym wzorem:</w:t>
            </w:r>
          </w:p>
          <w:p w14:paraId="0A809242" w14:textId="77777777" w:rsidR="001D6159" w:rsidRPr="001D6159" w:rsidRDefault="001D6159" w:rsidP="001D6159">
            <w:pPr>
              <w:widowControl/>
              <w:jc w:val="both"/>
              <w:rPr>
                <w:rFonts w:ascii="Garamond" w:eastAsia="Times New Roman" w:hAnsi="Garamond"/>
                <w:bCs/>
                <w:strike/>
                <w:color w:val="FF0000"/>
                <w:lang w:val="pl-PL" w:eastAsia="pl-PL"/>
              </w:rPr>
            </w:pPr>
          </w:p>
          <w:p w14:paraId="01779E4F" w14:textId="77777777" w:rsidR="001D6159" w:rsidRPr="001D6159" w:rsidRDefault="001D6159" w:rsidP="001D6159">
            <w:pPr>
              <w:widowControl/>
              <w:jc w:val="both"/>
              <w:rPr>
                <w:rFonts w:ascii="Garamond" w:eastAsia="Times New Roman" w:hAnsi="Garamond"/>
                <w:bCs/>
                <w:strike/>
                <w:color w:val="FF0000"/>
                <w:lang w:val="pl-PL" w:eastAsia="pl-PL"/>
              </w:rPr>
            </w:pPr>
            <w:r w:rsidRPr="001D6159">
              <w:rPr>
                <w:rFonts w:ascii="Garamond" w:eastAsia="Times New Roman" w:hAnsi="Garamond"/>
                <w:bCs/>
                <w:strike/>
                <w:color w:val="FF0000"/>
                <w:lang w:val="pl-PL" w:eastAsia="pl-PL"/>
              </w:rPr>
              <w:t>Liczba punktów = BB(i)</w:t>
            </w:r>
          </w:p>
          <w:p w14:paraId="6500F63E" w14:textId="77777777" w:rsidR="001D6159" w:rsidRPr="001D6159" w:rsidRDefault="001D6159" w:rsidP="001D6159">
            <w:pPr>
              <w:widowControl/>
              <w:jc w:val="both"/>
              <w:rPr>
                <w:rFonts w:ascii="Garamond" w:eastAsia="Times New Roman" w:hAnsi="Garamond"/>
                <w:bCs/>
                <w:strike/>
                <w:color w:val="FF0000"/>
                <w:lang w:val="pl-PL" w:eastAsia="pl-PL"/>
              </w:rPr>
            </w:pPr>
            <w:r w:rsidRPr="001D6159">
              <w:rPr>
                <w:rFonts w:ascii="Garamond" w:eastAsia="Times New Roman" w:hAnsi="Garamond"/>
                <w:bCs/>
                <w:strike/>
                <w:color w:val="FF0000"/>
                <w:lang w:val="pl-PL" w:eastAsia="pl-PL"/>
              </w:rPr>
              <w:t>gdzie:</w:t>
            </w:r>
          </w:p>
          <w:p w14:paraId="70F3958B" w14:textId="77777777" w:rsidR="001D6159" w:rsidRPr="001D6159" w:rsidRDefault="001D6159" w:rsidP="001D6159">
            <w:pPr>
              <w:widowControl/>
              <w:jc w:val="both"/>
              <w:rPr>
                <w:rFonts w:ascii="Garamond" w:eastAsia="Times New Roman" w:hAnsi="Garamond"/>
                <w:bCs/>
                <w:strike/>
                <w:color w:val="FF0000"/>
                <w:lang w:val="pl-PL" w:eastAsia="pl-PL"/>
              </w:rPr>
            </w:pPr>
            <w:r w:rsidRPr="001D6159">
              <w:rPr>
                <w:rFonts w:ascii="Garamond" w:eastAsia="Times New Roman" w:hAnsi="Garamond"/>
                <w:bCs/>
                <w:strike/>
                <w:color w:val="FF0000"/>
                <w:lang w:val="pl-PL" w:eastAsia="pl-PL"/>
              </w:rPr>
              <w:t>- BB(i)</w:t>
            </w:r>
            <w:r w:rsidRPr="001D6159">
              <w:rPr>
                <w:rFonts w:ascii="Garamond" w:eastAsia="Times New Roman" w:hAnsi="Garamond"/>
                <w:bCs/>
                <w:strike/>
                <w:color w:val="FF0000"/>
                <w:vertAlign w:val="subscript"/>
                <w:lang w:val="pl-PL" w:eastAsia="pl-PL"/>
              </w:rPr>
              <w:t xml:space="preserve"> </w:t>
            </w:r>
            <w:r w:rsidRPr="001D6159">
              <w:rPr>
                <w:rFonts w:ascii="Garamond" w:eastAsia="Times New Roman" w:hAnsi="Garamond"/>
                <w:bCs/>
                <w:strike/>
                <w:color w:val="FF0000"/>
                <w:lang w:val="pl-PL" w:eastAsia="pl-PL"/>
              </w:rPr>
              <w:t xml:space="preserve">- liczba punktów otrzymanych przez ocenianą ofertę za jakość (przyznana w oparciu o sposób oceny podany poniżej) </w:t>
            </w:r>
          </w:p>
        </w:tc>
        <w:tc>
          <w:tcPr>
            <w:tcW w:w="1209" w:type="dxa"/>
          </w:tcPr>
          <w:p w14:paraId="4BBCE5D0" w14:textId="77777777" w:rsidR="001D6159" w:rsidRPr="001D6159" w:rsidRDefault="001D6159" w:rsidP="001D6159">
            <w:pPr>
              <w:widowControl/>
              <w:jc w:val="center"/>
              <w:rPr>
                <w:rFonts w:ascii="Garamond" w:eastAsia="Times New Roman" w:hAnsi="Garamond"/>
                <w:bCs/>
                <w:strike/>
                <w:color w:val="FF0000"/>
                <w:lang w:val="pl-PL" w:eastAsia="pl-PL"/>
              </w:rPr>
            </w:pPr>
            <w:r w:rsidRPr="001D6159">
              <w:rPr>
                <w:rFonts w:ascii="Garamond" w:eastAsia="Times New Roman" w:hAnsi="Garamond"/>
                <w:bCs/>
                <w:strike/>
                <w:color w:val="FF0000"/>
                <w:lang w:val="pl-PL" w:eastAsia="pl-PL"/>
              </w:rPr>
              <w:t>5 %</w:t>
            </w:r>
          </w:p>
        </w:tc>
      </w:tr>
    </w:tbl>
    <w:p w14:paraId="4BD6CC77" w14:textId="77777777" w:rsidR="001D6159" w:rsidRPr="001D6159" w:rsidRDefault="001D6159" w:rsidP="001D6159">
      <w:pPr>
        <w:widowControl/>
        <w:jc w:val="both"/>
        <w:rPr>
          <w:rFonts w:ascii="Garamond" w:eastAsia="Times New Roman" w:hAnsi="Garamond"/>
          <w:lang w:val="pl-PL" w:eastAsia="pl-PL"/>
        </w:rPr>
      </w:pPr>
    </w:p>
    <w:p w14:paraId="0A6EDF01" w14:textId="77777777" w:rsidR="001D6159" w:rsidRPr="001D6159" w:rsidRDefault="001D6159" w:rsidP="00FA0567">
      <w:pPr>
        <w:widowControl/>
        <w:ind w:left="284"/>
        <w:jc w:val="both"/>
        <w:rPr>
          <w:rFonts w:ascii="Garamond" w:eastAsia="Times New Roman" w:hAnsi="Garamond"/>
          <w:u w:val="single"/>
          <w:lang w:val="pl-PL" w:eastAsia="pl-PL"/>
        </w:rPr>
      </w:pPr>
      <w:r w:rsidRPr="001D6159">
        <w:rPr>
          <w:rFonts w:ascii="Garamond" w:eastAsia="Times New Roman" w:hAnsi="Garamond"/>
          <w:u w:val="single"/>
          <w:lang w:val="pl-PL" w:eastAsia="pl-PL"/>
        </w:rPr>
        <w:t>Ocena w kryterium „Jakość (A)”:</w:t>
      </w:r>
    </w:p>
    <w:p w14:paraId="5A6DE0CF" w14:textId="77777777" w:rsidR="001D6159" w:rsidRPr="001D6159" w:rsidRDefault="001D6159" w:rsidP="00FA0567">
      <w:pPr>
        <w:widowControl/>
        <w:ind w:left="284"/>
        <w:jc w:val="both"/>
        <w:rPr>
          <w:rFonts w:ascii="Garamond" w:eastAsia="Times New Roman" w:hAnsi="Garamond"/>
          <w:bCs/>
          <w:lang w:val="pl-PL" w:eastAsia="pl-PL"/>
        </w:rPr>
      </w:pPr>
      <w:r w:rsidRPr="001D6159">
        <w:rPr>
          <w:rFonts w:ascii="Garamond" w:eastAsia="Times New Roman" w:hAnsi="Garamond"/>
          <w:lang w:val="pl-PL" w:eastAsia="pl-PL"/>
        </w:rPr>
        <w:t xml:space="preserve">Punkty w kryterium „Jakość (A)” </w:t>
      </w:r>
      <w:r w:rsidRPr="001D6159">
        <w:rPr>
          <w:rFonts w:ascii="Garamond" w:eastAsia="Times New Roman" w:hAnsi="Garamond"/>
          <w:bCs/>
          <w:lang w:val="pl-PL" w:eastAsia="pl-PL"/>
        </w:rPr>
        <w:t xml:space="preserve">zostaną przyznane w oparciu o cechy </w:t>
      </w:r>
      <w:r w:rsidRPr="001D6159">
        <w:rPr>
          <w:rFonts w:ascii="Garamond" w:eastAsia="Times New Roman" w:hAnsi="Garamond"/>
          <w:lang w:val="pl-PL" w:eastAsia="pl-PL"/>
        </w:rPr>
        <w:t xml:space="preserve">charakterystyki systemu napełniania parownika zastosowanego w oferowanym produkcie leczniczym (w oparciu o oświadczenie wykonawcy, sporządzone </w:t>
      </w:r>
      <w:r w:rsidRPr="001D6159">
        <w:rPr>
          <w:rFonts w:ascii="Garamond" w:eastAsia="Times New Roman" w:hAnsi="Garamond"/>
          <w:color w:val="000000"/>
          <w:lang w:val="pl-PL" w:eastAsia="pl-PL"/>
        </w:rPr>
        <w:t>według wzoru stanowiącego załącznik nr 5 do specyfikacji</w:t>
      </w:r>
      <w:r w:rsidRPr="001D6159">
        <w:rPr>
          <w:rFonts w:ascii="Garamond" w:eastAsia="Times New Roman" w:hAnsi="Garamond"/>
          <w:lang w:val="pl-PL" w:eastAsia="pl-PL"/>
        </w:rPr>
        <w:t>)</w:t>
      </w:r>
      <w:r w:rsidRPr="001D6159">
        <w:rPr>
          <w:rFonts w:ascii="Garamond" w:eastAsia="Times New Roman" w:hAnsi="Garamond"/>
          <w:bCs/>
          <w:lang w:val="pl-PL" w:eastAsia="pl-PL"/>
        </w:rPr>
        <w:t>:</w:t>
      </w:r>
    </w:p>
    <w:p w14:paraId="44564EEC" w14:textId="77777777" w:rsidR="001D6159" w:rsidRPr="001D6159" w:rsidRDefault="001D6159" w:rsidP="00FA0567">
      <w:pPr>
        <w:widowControl/>
        <w:numPr>
          <w:ilvl w:val="0"/>
          <w:numId w:val="3"/>
        </w:numPr>
        <w:ind w:left="284" w:firstLine="0"/>
        <w:jc w:val="both"/>
        <w:rPr>
          <w:rFonts w:ascii="Garamond" w:eastAsia="Times New Roman" w:hAnsi="Garamond"/>
          <w:bCs/>
          <w:lang w:val="pl-PL" w:eastAsia="pl-PL"/>
        </w:rPr>
      </w:pPr>
      <w:r w:rsidRPr="001D6159">
        <w:rPr>
          <w:rFonts w:ascii="Garamond" w:eastAsia="Times New Roman" w:hAnsi="Garamond"/>
          <w:bCs/>
          <w:lang w:val="pl-PL" w:eastAsia="pl-PL"/>
        </w:rPr>
        <w:t>Adapter wielokrotnego użytku, nakręcany na butelkę  - otrzyma 0 punktów.</w:t>
      </w:r>
    </w:p>
    <w:p w14:paraId="3E1E98E3" w14:textId="0E35F884" w:rsidR="001D6159" w:rsidRPr="001D6159" w:rsidRDefault="001D6159" w:rsidP="00FA0567">
      <w:pPr>
        <w:widowControl/>
        <w:numPr>
          <w:ilvl w:val="0"/>
          <w:numId w:val="3"/>
        </w:numPr>
        <w:ind w:left="284" w:firstLine="0"/>
        <w:jc w:val="both"/>
        <w:rPr>
          <w:rFonts w:ascii="Garamond" w:eastAsia="Times New Roman" w:hAnsi="Garamond"/>
          <w:bCs/>
          <w:lang w:val="pl-PL" w:eastAsia="pl-PL"/>
        </w:rPr>
      </w:pPr>
      <w:r w:rsidRPr="001D6159">
        <w:rPr>
          <w:rFonts w:ascii="Garamond" w:eastAsia="Times New Roman" w:hAnsi="Garamond"/>
          <w:bCs/>
          <w:lang w:val="pl-PL" w:eastAsia="pl-PL"/>
        </w:rPr>
        <w:t>Adapter fabrycznie zamontowany na butelce, umożliwiający bezpośrednie napełnianie parownika bez zużycia dodatkowych nakręcanych elementów łączących bu</w:t>
      </w:r>
      <w:r w:rsidR="00B17CDC">
        <w:rPr>
          <w:rFonts w:ascii="Garamond" w:eastAsia="Times New Roman" w:hAnsi="Garamond"/>
          <w:bCs/>
          <w:lang w:val="pl-PL" w:eastAsia="pl-PL"/>
        </w:rPr>
        <w:t>telkę z parownikiem – otrzyma 5 </w:t>
      </w:r>
      <w:r w:rsidRPr="001D6159">
        <w:rPr>
          <w:rFonts w:ascii="Garamond" w:eastAsia="Times New Roman" w:hAnsi="Garamond"/>
          <w:bCs/>
          <w:lang w:val="pl-PL" w:eastAsia="pl-PL"/>
        </w:rPr>
        <w:t>punktów.</w:t>
      </w:r>
    </w:p>
    <w:p w14:paraId="36DC1E8C" w14:textId="77777777" w:rsidR="001D6159" w:rsidRPr="001D6159" w:rsidRDefault="001D6159" w:rsidP="00FA0567">
      <w:pPr>
        <w:widowControl/>
        <w:ind w:left="284"/>
        <w:jc w:val="both"/>
        <w:rPr>
          <w:rFonts w:ascii="Garamond" w:eastAsia="Times New Roman" w:hAnsi="Garamond"/>
          <w:bCs/>
          <w:highlight w:val="yellow"/>
          <w:lang w:val="pl-PL" w:eastAsia="pl-PL"/>
        </w:rPr>
      </w:pPr>
    </w:p>
    <w:p w14:paraId="358CB1C8" w14:textId="142C9495" w:rsidR="001D6159" w:rsidRPr="001D6159" w:rsidRDefault="001D6159" w:rsidP="00FA0567">
      <w:pPr>
        <w:widowControl/>
        <w:suppressAutoHyphens/>
        <w:ind w:left="284"/>
        <w:jc w:val="both"/>
        <w:rPr>
          <w:rFonts w:ascii="Garamond" w:eastAsia="Times New Roman" w:hAnsi="Garamond"/>
          <w:bCs/>
          <w:color w:val="000000"/>
          <w:lang w:val="pl-PL" w:eastAsia="ar-SA"/>
        </w:rPr>
      </w:pPr>
      <w:r w:rsidRPr="001D6159">
        <w:rPr>
          <w:rFonts w:ascii="Garamond" w:eastAsia="Times New Roman" w:hAnsi="Garamond"/>
          <w:bCs/>
          <w:color w:val="000000"/>
          <w:lang w:val="pl-PL" w:eastAsia="ar-SA"/>
        </w:rPr>
        <w:lastRenderedPageBreak/>
        <w:t>Ocena w kryterium Jakość (A) zostanie dokonana w oparciu o informacje podane w złożonym załączniku nr 5 do specyfikacji zgodnie z wymogami zawartymi w opisie przedmiotu zamówienia w</w:t>
      </w:r>
      <w:r w:rsidR="00B17CDC">
        <w:rPr>
          <w:rFonts w:ascii="Garamond" w:eastAsia="Times New Roman" w:hAnsi="Garamond"/>
          <w:bCs/>
          <w:color w:val="000000"/>
          <w:lang w:val="pl-PL" w:eastAsia="ar-SA"/>
        </w:rPr>
        <w:t> </w:t>
      </w:r>
      <w:r w:rsidRPr="001D6159">
        <w:rPr>
          <w:rFonts w:ascii="Garamond" w:eastAsia="Times New Roman" w:hAnsi="Garamond"/>
          <w:bCs/>
          <w:color w:val="000000"/>
          <w:lang w:val="pl-PL" w:eastAsia="ar-SA"/>
        </w:rPr>
        <w:t xml:space="preserve">zakresie cz. 23 (załącznik 1a do specyfikacji). Jeżeli wykonawca nie poda cech charakterystyki systemu napełniania parownika zastosowanego w oferowanym produkcie leczniczym to Zamawiający przyjmie, że składając ofertę wykonawca oferuje adapter wielokrotnego użytku, nakręcany na butelkę i poprawi omyłkę zgodnie z art. 87 ust. 2 pkt 3 ustawy Prawo zamówień publicznych. </w:t>
      </w:r>
    </w:p>
    <w:p w14:paraId="718D2616" w14:textId="77777777" w:rsidR="001D6159" w:rsidRPr="001D6159" w:rsidRDefault="001D6159" w:rsidP="00FA0567">
      <w:pPr>
        <w:widowControl/>
        <w:suppressAutoHyphens/>
        <w:ind w:left="284"/>
        <w:jc w:val="both"/>
        <w:rPr>
          <w:rFonts w:ascii="Garamond" w:eastAsia="Times New Roman" w:hAnsi="Garamond"/>
          <w:bCs/>
          <w:color w:val="000000"/>
          <w:lang w:val="pl-PL" w:eastAsia="ar-SA"/>
        </w:rPr>
      </w:pPr>
    </w:p>
    <w:p w14:paraId="4EFB116D" w14:textId="77777777" w:rsidR="001D6159" w:rsidRPr="001D6159" w:rsidRDefault="001D6159" w:rsidP="00FA0567">
      <w:pPr>
        <w:widowControl/>
        <w:ind w:left="284"/>
        <w:jc w:val="both"/>
        <w:rPr>
          <w:rFonts w:ascii="Garamond" w:eastAsia="Times New Roman" w:hAnsi="Garamond"/>
          <w:strike/>
          <w:color w:val="FF0000"/>
          <w:u w:val="single"/>
          <w:lang w:val="pl-PL" w:eastAsia="pl-PL"/>
        </w:rPr>
      </w:pPr>
      <w:r w:rsidRPr="001D6159">
        <w:rPr>
          <w:rFonts w:ascii="Garamond" w:eastAsia="Times New Roman" w:hAnsi="Garamond"/>
          <w:strike/>
          <w:color w:val="FF0000"/>
          <w:u w:val="single"/>
          <w:lang w:val="pl-PL" w:eastAsia="pl-PL"/>
        </w:rPr>
        <w:t>Ocena w kryterium „Jakość (B)”:</w:t>
      </w:r>
    </w:p>
    <w:p w14:paraId="10D8711F" w14:textId="77777777" w:rsidR="001D6159" w:rsidRPr="001D6159" w:rsidRDefault="001D6159" w:rsidP="00FA0567">
      <w:pPr>
        <w:widowControl/>
        <w:ind w:left="284"/>
        <w:jc w:val="both"/>
        <w:rPr>
          <w:rFonts w:ascii="Garamond" w:eastAsia="Times New Roman" w:hAnsi="Garamond"/>
          <w:bCs/>
          <w:strike/>
          <w:color w:val="FF0000"/>
          <w:lang w:val="pl-PL" w:eastAsia="pl-PL"/>
        </w:rPr>
      </w:pPr>
      <w:r w:rsidRPr="001D6159">
        <w:rPr>
          <w:rFonts w:ascii="Garamond" w:eastAsia="Times New Roman" w:hAnsi="Garamond"/>
          <w:strike/>
          <w:color w:val="FF0000"/>
          <w:lang w:val="pl-PL" w:eastAsia="pl-PL"/>
        </w:rPr>
        <w:t xml:space="preserve">Punkty w kryterium „Jakość (B)” </w:t>
      </w:r>
      <w:r w:rsidRPr="001D6159">
        <w:rPr>
          <w:rFonts w:ascii="Garamond" w:eastAsia="Times New Roman" w:hAnsi="Garamond"/>
          <w:bCs/>
          <w:strike/>
          <w:color w:val="FF0000"/>
          <w:lang w:val="pl-PL" w:eastAsia="pl-PL"/>
        </w:rPr>
        <w:t>zostaną przyznane w oparciu o informacje posiadające potwierdzenie w karcie Charakterystyki Produktu Leczniczego</w:t>
      </w:r>
      <w:r w:rsidRPr="001D6159">
        <w:rPr>
          <w:rFonts w:ascii="Tahoma" w:eastAsia="Times New Roman" w:hAnsi="Tahoma" w:cs="Tahoma"/>
          <w:strike/>
          <w:color w:val="FF0000"/>
          <w:szCs w:val="24"/>
          <w:lang w:val="pl-PL" w:eastAsia="pl-PL"/>
        </w:rPr>
        <w:t xml:space="preserve"> </w:t>
      </w:r>
      <w:r w:rsidRPr="001D6159">
        <w:rPr>
          <w:rFonts w:ascii="Garamond" w:eastAsia="Times New Roman" w:hAnsi="Garamond"/>
          <w:bCs/>
          <w:strike/>
          <w:color w:val="FF0000"/>
          <w:lang w:val="pl-PL" w:eastAsia="pl-PL"/>
        </w:rPr>
        <w:t>odnośnie specjalnych środków ostrożności podczas przechowywania produktu leczniczego:</w:t>
      </w:r>
    </w:p>
    <w:p w14:paraId="5A7862AA" w14:textId="77777777" w:rsidR="001D6159" w:rsidRPr="001D6159" w:rsidRDefault="001D6159" w:rsidP="00FA0567">
      <w:pPr>
        <w:widowControl/>
        <w:numPr>
          <w:ilvl w:val="0"/>
          <w:numId w:val="3"/>
        </w:numPr>
        <w:ind w:left="284" w:firstLine="0"/>
        <w:jc w:val="both"/>
        <w:rPr>
          <w:rFonts w:ascii="Garamond" w:eastAsia="Times New Roman" w:hAnsi="Garamond"/>
          <w:bCs/>
          <w:strike/>
          <w:color w:val="FF0000"/>
          <w:lang w:val="pl-PL" w:eastAsia="pl-PL"/>
        </w:rPr>
      </w:pPr>
      <w:r w:rsidRPr="001D6159">
        <w:rPr>
          <w:rFonts w:ascii="Garamond" w:eastAsia="Times New Roman" w:hAnsi="Garamond"/>
          <w:bCs/>
          <w:strike/>
          <w:color w:val="FF0000"/>
          <w:lang w:val="pl-PL" w:eastAsia="pl-PL"/>
        </w:rPr>
        <w:t>Przechowywać w temperaturze poniżej 25</w:t>
      </w:r>
      <w:r w:rsidRPr="001D6159">
        <w:rPr>
          <w:rFonts w:eastAsia="Times New Roman"/>
          <w:bCs/>
          <w:strike/>
          <w:color w:val="FF0000"/>
          <w:lang w:val="pl-PL" w:eastAsia="pl-PL"/>
        </w:rPr>
        <w:t>°</w:t>
      </w:r>
      <w:r w:rsidRPr="001D6159">
        <w:rPr>
          <w:rFonts w:ascii="Garamond" w:eastAsia="Times New Roman" w:hAnsi="Garamond"/>
          <w:bCs/>
          <w:strike/>
          <w:color w:val="FF0000"/>
          <w:lang w:val="pl-PL" w:eastAsia="pl-PL"/>
        </w:rPr>
        <w:t>C  - otrzyma 0 punktów.</w:t>
      </w:r>
    </w:p>
    <w:p w14:paraId="576DFAA2" w14:textId="77777777" w:rsidR="001D6159" w:rsidRPr="001D6159" w:rsidRDefault="001D6159" w:rsidP="00FA0567">
      <w:pPr>
        <w:widowControl/>
        <w:numPr>
          <w:ilvl w:val="0"/>
          <w:numId w:val="3"/>
        </w:numPr>
        <w:ind w:left="284" w:firstLine="0"/>
        <w:jc w:val="both"/>
        <w:rPr>
          <w:rFonts w:ascii="Garamond" w:eastAsia="Times New Roman" w:hAnsi="Garamond"/>
          <w:bCs/>
          <w:strike/>
          <w:color w:val="FF0000"/>
          <w:lang w:val="pl-PL" w:eastAsia="pl-PL"/>
        </w:rPr>
      </w:pPr>
      <w:r w:rsidRPr="001D6159">
        <w:rPr>
          <w:rFonts w:ascii="Garamond" w:eastAsia="Times New Roman" w:hAnsi="Garamond"/>
          <w:bCs/>
          <w:strike/>
          <w:color w:val="FF0000"/>
          <w:lang w:val="pl-PL" w:eastAsia="pl-PL"/>
        </w:rPr>
        <w:t>Brak specjalnych zaleceń dotyczących przechowywania produktu – otrzyma 5 punktów.</w:t>
      </w:r>
    </w:p>
    <w:p w14:paraId="313501C1" w14:textId="77777777" w:rsidR="001D6159" w:rsidRPr="001D6159" w:rsidRDefault="001D6159" w:rsidP="00FA0567">
      <w:pPr>
        <w:widowControl/>
        <w:ind w:left="284"/>
        <w:jc w:val="both"/>
        <w:rPr>
          <w:rFonts w:ascii="Garamond" w:eastAsia="Times New Roman" w:hAnsi="Garamond"/>
          <w:bCs/>
          <w:strike/>
          <w:color w:val="FF0000"/>
          <w:highlight w:val="yellow"/>
          <w:lang w:val="pl-PL" w:eastAsia="pl-PL"/>
        </w:rPr>
      </w:pPr>
    </w:p>
    <w:p w14:paraId="599107FA" w14:textId="22C9B16C" w:rsidR="001D6159" w:rsidRPr="001D6159" w:rsidRDefault="001D6159" w:rsidP="00FA0567">
      <w:pPr>
        <w:widowControl/>
        <w:suppressAutoHyphens/>
        <w:ind w:left="284"/>
        <w:jc w:val="both"/>
        <w:rPr>
          <w:rFonts w:ascii="Garamond" w:eastAsia="Times New Roman" w:hAnsi="Garamond"/>
          <w:bCs/>
          <w:strike/>
          <w:color w:val="FF0000"/>
          <w:lang w:val="pl-PL" w:eastAsia="ar-SA"/>
        </w:rPr>
      </w:pPr>
      <w:r w:rsidRPr="001D6159">
        <w:rPr>
          <w:rFonts w:ascii="Garamond" w:eastAsia="Times New Roman" w:hAnsi="Garamond"/>
          <w:bCs/>
          <w:strike/>
          <w:color w:val="FF0000"/>
          <w:lang w:val="pl-PL" w:eastAsia="ar-SA"/>
        </w:rPr>
        <w:t>Ocena w kryterium Jakość (B) zostanie dokonana w oparciu o informacje podane w złożonym załączniku nr 5 do specyfikacji zgodnie z wymogami zawartymi w opisie przedmiotu zamówienia</w:t>
      </w:r>
      <w:r w:rsidR="00FA0567">
        <w:rPr>
          <w:rFonts w:ascii="Garamond" w:eastAsia="Times New Roman" w:hAnsi="Garamond"/>
          <w:bCs/>
          <w:strike/>
          <w:color w:val="FF0000"/>
          <w:lang w:val="pl-PL" w:eastAsia="ar-SA"/>
        </w:rPr>
        <w:t xml:space="preserve"> w </w:t>
      </w:r>
      <w:r w:rsidRPr="001D6159">
        <w:rPr>
          <w:rFonts w:ascii="Garamond" w:eastAsia="Times New Roman" w:hAnsi="Garamond"/>
          <w:bCs/>
          <w:strike/>
          <w:color w:val="FF0000"/>
          <w:lang w:val="pl-PL" w:eastAsia="ar-SA"/>
        </w:rPr>
        <w:t xml:space="preserve">zakresie cz. 23 (załącznik 1a do specyfikacji). Jeżeli wykonawca nie poda informacji odnośnie specjalnych środków ostrożności podczas przechowywania oferowanego produktu leczniczego to Zamawiający przyjmie, że składając ofertę wykonawca oferuje produkt leczniczy </w:t>
      </w:r>
      <w:r w:rsidR="00FA0567">
        <w:rPr>
          <w:rFonts w:ascii="Garamond" w:eastAsia="Times New Roman" w:hAnsi="Garamond"/>
          <w:bCs/>
          <w:strike/>
          <w:color w:val="FF0000"/>
          <w:lang w:val="pl-PL" w:eastAsia="ar-SA"/>
        </w:rPr>
        <w:t>do przechowywania w </w:t>
      </w:r>
      <w:r w:rsidRPr="001D6159">
        <w:rPr>
          <w:rFonts w:ascii="Garamond" w:eastAsia="Times New Roman" w:hAnsi="Garamond"/>
          <w:bCs/>
          <w:strike/>
          <w:color w:val="FF0000"/>
          <w:lang w:val="pl-PL" w:eastAsia="ar-SA"/>
        </w:rPr>
        <w:t xml:space="preserve">temperaturze poniżej 25°C i poprawi omyłkę zgodnie z art. 87 ust. 2 pkt 3 ustawy Prawo zamówień publicznych. </w:t>
      </w:r>
    </w:p>
    <w:p w14:paraId="5A7E1E4A" w14:textId="5929AB28" w:rsidR="00065CA7" w:rsidRPr="0010556F" w:rsidRDefault="00065CA7" w:rsidP="00065CA7">
      <w:pPr>
        <w:widowControl/>
        <w:tabs>
          <w:tab w:val="left" w:pos="0"/>
        </w:tabs>
        <w:jc w:val="both"/>
        <w:rPr>
          <w:rFonts w:ascii="Garamond" w:eastAsia="Times New Roman" w:hAnsi="Garamond" w:cs="Arial"/>
          <w:b/>
          <w:u w:val="single"/>
          <w:lang w:val="pl-PL" w:eastAsia="pl-PL"/>
        </w:rPr>
      </w:pPr>
    </w:p>
    <w:p w14:paraId="257C3FDC" w14:textId="45A1555E" w:rsidR="00B529DD" w:rsidRDefault="00D204DC" w:rsidP="00B529DD">
      <w:pPr>
        <w:widowControl/>
        <w:tabs>
          <w:tab w:val="left" w:pos="0"/>
        </w:tabs>
        <w:jc w:val="both"/>
        <w:rPr>
          <w:rFonts w:ascii="Garamond" w:eastAsia="Times New Roman" w:hAnsi="Garamond" w:cs="Arial"/>
          <w:b/>
          <w:u w:val="single"/>
          <w:lang w:val="pl-PL" w:eastAsia="pl-PL"/>
        </w:rPr>
      </w:pPr>
      <w:r w:rsidRPr="0010556F">
        <w:rPr>
          <w:rFonts w:ascii="Garamond" w:eastAsia="Times New Roman" w:hAnsi="Garamond" w:cs="Arial"/>
          <w:b/>
          <w:u w:val="single"/>
          <w:lang w:val="pl-PL" w:eastAsia="pl-PL"/>
        </w:rPr>
        <w:t>II.</w:t>
      </w:r>
      <w:r w:rsidR="00B529DD" w:rsidRPr="00693A28">
        <w:rPr>
          <w:lang w:val="pl-PL"/>
        </w:rPr>
        <w:t xml:space="preserve"> </w:t>
      </w:r>
      <w:r w:rsidR="00B529DD" w:rsidRPr="00B529DD">
        <w:rPr>
          <w:rFonts w:ascii="Garamond" w:eastAsia="Times New Roman" w:hAnsi="Garamond" w:cs="Arial"/>
          <w:b/>
          <w:u w:val="single"/>
          <w:lang w:val="pl-PL" w:eastAsia="pl-PL"/>
        </w:rPr>
        <w:t>Specyfikacja istotnych warunków zamówienia</w:t>
      </w:r>
      <w:r w:rsidR="00B529DD" w:rsidRPr="00693A28">
        <w:rPr>
          <w:lang w:val="pl-PL"/>
        </w:rPr>
        <w:t xml:space="preserve"> </w:t>
      </w:r>
    </w:p>
    <w:p w14:paraId="5954C5BF" w14:textId="313E05DD" w:rsidR="00B529DD" w:rsidRPr="00B529DD" w:rsidRDefault="00B529DD" w:rsidP="00B529DD">
      <w:pPr>
        <w:widowControl/>
        <w:tabs>
          <w:tab w:val="left" w:pos="0"/>
        </w:tabs>
        <w:jc w:val="both"/>
        <w:rPr>
          <w:rFonts w:ascii="Garamond" w:eastAsia="Times New Roman" w:hAnsi="Garamond" w:cs="Arial"/>
          <w:b/>
          <w:u w:val="single"/>
          <w:lang w:val="pl-PL" w:eastAsia="pl-PL"/>
        </w:rPr>
      </w:pPr>
      <w:r>
        <w:rPr>
          <w:rFonts w:ascii="Garamond" w:eastAsia="Times New Roman" w:hAnsi="Garamond" w:cs="Arial"/>
          <w:b/>
          <w:u w:val="single"/>
          <w:lang w:val="pl-PL" w:eastAsia="pl-PL"/>
        </w:rPr>
        <w:t>Pkt. 8</w:t>
      </w:r>
    </w:p>
    <w:p w14:paraId="26761E2B" w14:textId="5E5AB2B1" w:rsidR="00B529DD" w:rsidRDefault="00B529DD" w:rsidP="00B529DD">
      <w:pPr>
        <w:widowControl/>
        <w:tabs>
          <w:tab w:val="left" w:pos="0"/>
        </w:tabs>
        <w:jc w:val="both"/>
        <w:rPr>
          <w:rFonts w:ascii="Garamond" w:eastAsia="Times New Roman" w:hAnsi="Garamond" w:cs="Arial"/>
          <w:u w:val="single"/>
          <w:lang w:val="pl-PL" w:eastAsia="pl-PL"/>
        </w:rPr>
      </w:pPr>
      <w:r>
        <w:rPr>
          <w:rFonts w:ascii="Garamond" w:eastAsia="Times New Roman" w:hAnsi="Garamond" w:cs="Arial"/>
          <w:u w:val="single"/>
          <w:lang w:val="pl-PL" w:eastAsia="pl-PL"/>
        </w:rPr>
        <w:t xml:space="preserve">8.1. </w:t>
      </w:r>
      <w:r w:rsidRPr="00B529DD">
        <w:rPr>
          <w:rFonts w:ascii="Garamond" w:eastAsia="Times New Roman" w:hAnsi="Garamond" w:cs="Arial"/>
          <w:u w:val="single"/>
          <w:lang w:val="pl-PL" w:eastAsia="pl-PL"/>
        </w:rPr>
        <w:t xml:space="preserve">Wykonawca zobowiązany jest wnieść wadium przed upływem terminu składania ofert. Wadium </w:t>
      </w:r>
      <w:r>
        <w:rPr>
          <w:rFonts w:ascii="Garamond" w:eastAsia="Times New Roman" w:hAnsi="Garamond" w:cs="Arial"/>
          <w:u w:val="single"/>
          <w:lang w:val="pl-PL" w:eastAsia="pl-PL"/>
        </w:rPr>
        <w:t>w </w:t>
      </w:r>
      <w:r w:rsidRPr="00B529DD">
        <w:rPr>
          <w:rFonts w:ascii="Garamond" w:eastAsia="Times New Roman" w:hAnsi="Garamond" w:cs="Arial"/>
          <w:u w:val="single"/>
          <w:lang w:val="pl-PL" w:eastAsia="pl-PL"/>
        </w:rPr>
        <w:t>zakresie części 21 wynosi:</w:t>
      </w:r>
    </w:p>
    <w:p w14:paraId="58860C50" w14:textId="77777777" w:rsidR="00B529DD" w:rsidRPr="00B529DD" w:rsidRDefault="00B529DD" w:rsidP="00B529DD">
      <w:pPr>
        <w:widowControl/>
        <w:tabs>
          <w:tab w:val="left" w:pos="0"/>
        </w:tabs>
        <w:jc w:val="both"/>
        <w:rPr>
          <w:rFonts w:ascii="Garamond" w:eastAsia="Times New Roman" w:hAnsi="Garamond" w:cs="Arial"/>
          <w:u w:val="single"/>
          <w:lang w:val="pl-PL" w:eastAsia="pl-PL"/>
        </w:rPr>
      </w:pPr>
    </w:p>
    <w:tbl>
      <w:tblPr>
        <w:tblW w:w="444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4"/>
        <w:gridCol w:w="3448"/>
      </w:tblGrid>
      <w:tr w:rsidR="00B529DD" w:rsidRPr="00B529DD" w14:paraId="7F6DF622" w14:textId="77777777" w:rsidTr="00B529DD">
        <w:trPr>
          <w:trHeight w:val="159"/>
        </w:trPr>
        <w:tc>
          <w:tcPr>
            <w:tcW w:w="992" w:type="dxa"/>
            <w:shd w:val="clear" w:color="auto" w:fill="auto"/>
            <w:noWrap/>
            <w:hideMark/>
          </w:tcPr>
          <w:p w14:paraId="6BF6EF0B" w14:textId="77777777" w:rsidR="00B529DD" w:rsidRPr="00B529DD" w:rsidRDefault="00B529DD" w:rsidP="00B529DD">
            <w:pPr>
              <w:widowControl/>
              <w:tabs>
                <w:tab w:val="left" w:pos="-3261"/>
              </w:tabs>
              <w:ind w:left="851" w:hanging="813"/>
              <w:jc w:val="center"/>
              <w:rPr>
                <w:rFonts w:ascii="Garamond" w:eastAsia="Times New Roman" w:hAnsi="Garamond"/>
                <w:b/>
                <w:bCs/>
                <w:color w:val="000000"/>
                <w:lang w:val="pl-PL" w:eastAsia="pl-PL"/>
              </w:rPr>
            </w:pPr>
            <w:r w:rsidRPr="00B529DD">
              <w:rPr>
                <w:rFonts w:ascii="Garamond" w:eastAsia="Times New Roman" w:hAnsi="Garamond"/>
                <w:b/>
                <w:bCs/>
                <w:color w:val="000000"/>
                <w:lang w:val="pl-PL" w:eastAsia="pl-PL"/>
              </w:rPr>
              <w:t>Nr części</w:t>
            </w:r>
          </w:p>
        </w:tc>
        <w:tc>
          <w:tcPr>
            <w:tcW w:w="3448" w:type="dxa"/>
            <w:shd w:val="clear" w:color="auto" w:fill="auto"/>
            <w:noWrap/>
            <w:hideMark/>
          </w:tcPr>
          <w:p w14:paraId="7B3D72E7" w14:textId="77777777" w:rsidR="00B529DD" w:rsidRPr="00B529DD" w:rsidRDefault="00B529DD" w:rsidP="00B529DD">
            <w:pPr>
              <w:widowControl/>
              <w:tabs>
                <w:tab w:val="left" w:pos="-3261"/>
              </w:tabs>
              <w:ind w:left="-104" w:right="-244"/>
              <w:jc w:val="center"/>
              <w:rPr>
                <w:rFonts w:ascii="Garamond" w:eastAsia="Times New Roman" w:hAnsi="Garamond"/>
                <w:b/>
                <w:bCs/>
                <w:color w:val="000000"/>
                <w:lang w:val="pl-PL" w:eastAsia="pl-PL"/>
              </w:rPr>
            </w:pPr>
            <w:r w:rsidRPr="00B529DD">
              <w:rPr>
                <w:rFonts w:ascii="Garamond" w:eastAsia="Times New Roman" w:hAnsi="Garamond"/>
                <w:b/>
                <w:bCs/>
                <w:color w:val="000000"/>
                <w:lang w:val="pl-PL" w:eastAsia="pl-PL"/>
              </w:rPr>
              <w:t>Kwota wadium</w:t>
            </w:r>
          </w:p>
        </w:tc>
      </w:tr>
      <w:tr w:rsidR="00B529DD" w:rsidRPr="00B529DD" w14:paraId="069A741F" w14:textId="77777777" w:rsidTr="00B529DD">
        <w:trPr>
          <w:trHeight w:val="159"/>
        </w:trPr>
        <w:tc>
          <w:tcPr>
            <w:tcW w:w="992" w:type="dxa"/>
            <w:shd w:val="clear" w:color="auto" w:fill="auto"/>
            <w:noWrap/>
            <w:hideMark/>
          </w:tcPr>
          <w:p w14:paraId="3B49C8C6" w14:textId="77777777" w:rsidR="00B529DD" w:rsidRPr="00B529DD" w:rsidRDefault="00B529DD" w:rsidP="00B529DD">
            <w:pPr>
              <w:widowControl/>
              <w:tabs>
                <w:tab w:val="left" w:pos="-3261"/>
              </w:tabs>
              <w:ind w:left="851" w:hanging="813"/>
              <w:jc w:val="both"/>
              <w:rPr>
                <w:rFonts w:ascii="Garamond" w:eastAsia="Times New Roman" w:hAnsi="Garamond"/>
                <w:bCs/>
                <w:color w:val="000000"/>
                <w:lang w:val="pl-PL" w:eastAsia="pl-PL"/>
              </w:rPr>
            </w:pPr>
            <w:r w:rsidRPr="00B529DD">
              <w:rPr>
                <w:rFonts w:ascii="Garamond" w:eastAsia="Times New Roman" w:hAnsi="Garamond"/>
                <w:bCs/>
                <w:color w:val="000000"/>
                <w:lang w:val="pl-PL" w:eastAsia="pl-PL"/>
              </w:rPr>
              <w:t>część 21</w:t>
            </w:r>
          </w:p>
        </w:tc>
        <w:tc>
          <w:tcPr>
            <w:tcW w:w="3448" w:type="dxa"/>
            <w:shd w:val="clear" w:color="auto" w:fill="auto"/>
            <w:noWrap/>
            <w:hideMark/>
          </w:tcPr>
          <w:p w14:paraId="07CD0463" w14:textId="4BA9B6CA" w:rsidR="00B529DD" w:rsidRDefault="00B529DD" w:rsidP="00B529DD">
            <w:pPr>
              <w:widowControl/>
              <w:jc w:val="right"/>
              <w:rPr>
                <w:rFonts w:ascii="Garamond" w:eastAsia="Times New Roman" w:hAnsi="Garamond"/>
                <w:color w:val="FF0000"/>
                <w:lang w:val="pl-PL" w:eastAsia="pl-PL"/>
              </w:rPr>
            </w:pPr>
            <w:r w:rsidRPr="00B529DD">
              <w:rPr>
                <w:rFonts w:ascii="Garamond" w:eastAsia="Times New Roman" w:hAnsi="Garamond"/>
                <w:color w:val="FF0000"/>
                <w:lang w:val="pl-PL" w:eastAsia="pl-PL"/>
              </w:rPr>
              <w:t xml:space="preserve">52 000,00 zł </w:t>
            </w:r>
          </w:p>
          <w:p w14:paraId="18A82B86" w14:textId="134D0DFC" w:rsidR="00427D70" w:rsidRPr="00B529DD" w:rsidRDefault="00427D70" w:rsidP="00B529DD">
            <w:pPr>
              <w:widowControl/>
              <w:jc w:val="right"/>
              <w:rPr>
                <w:rFonts w:ascii="Garamond" w:eastAsia="Times New Roman" w:hAnsi="Garamond"/>
                <w:color w:val="FF0000"/>
                <w:lang w:val="pl-PL" w:eastAsia="pl-PL"/>
              </w:rPr>
            </w:pPr>
            <w:r w:rsidRPr="00427D70">
              <w:rPr>
                <w:rFonts w:ascii="Garamond" w:eastAsia="Times New Roman" w:hAnsi="Garamond"/>
                <w:strike/>
                <w:color w:val="FF0000"/>
                <w:lang w:val="pl-PL" w:eastAsia="pl-PL"/>
              </w:rPr>
              <w:t>400 000,00 zł</w:t>
            </w:r>
          </w:p>
        </w:tc>
      </w:tr>
    </w:tbl>
    <w:p w14:paraId="607037DA" w14:textId="77777777" w:rsidR="00B529DD" w:rsidRDefault="00B529DD" w:rsidP="00B529DD">
      <w:pPr>
        <w:widowControl/>
        <w:tabs>
          <w:tab w:val="left" w:pos="0"/>
        </w:tabs>
        <w:jc w:val="both"/>
        <w:rPr>
          <w:rFonts w:ascii="Garamond" w:eastAsia="Times New Roman" w:hAnsi="Garamond" w:cs="Arial"/>
          <w:b/>
          <w:u w:val="single"/>
          <w:lang w:val="pl-PL" w:eastAsia="pl-PL"/>
        </w:rPr>
      </w:pPr>
    </w:p>
    <w:p w14:paraId="3F786ED0" w14:textId="67E0AFE4" w:rsidR="00D204DC" w:rsidRPr="0010556F" w:rsidRDefault="00B529DD" w:rsidP="005268E3">
      <w:pPr>
        <w:widowControl/>
        <w:tabs>
          <w:tab w:val="left" w:pos="0"/>
        </w:tabs>
        <w:jc w:val="both"/>
        <w:rPr>
          <w:rFonts w:ascii="Garamond" w:eastAsia="Times New Roman" w:hAnsi="Garamond" w:cs="Arial"/>
          <w:b/>
          <w:u w:val="single"/>
          <w:lang w:val="pl-PL" w:eastAsia="pl-PL"/>
        </w:rPr>
      </w:pPr>
      <w:r>
        <w:rPr>
          <w:rFonts w:ascii="Garamond" w:eastAsia="Times New Roman" w:hAnsi="Garamond" w:cs="Arial"/>
          <w:b/>
          <w:u w:val="single"/>
          <w:lang w:val="pl-PL" w:eastAsia="pl-PL"/>
        </w:rPr>
        <w:t xml:space="preserve">III. </w:t>
      </w:r>
      <w:r w:rsidR="00D204DC" w:rsidRPr="0010556F">
        <w:rPr>
          <w:rFonts w:ascii="Garamond" w:eastAsia="Times New Roman" w:hAnsi="Garamond" w:cs="Arial"/>
          <w:b/>
          <w:u w:val="single"/>
          <w:lang w:val="pl-PL" w:eastAsia="pl-PL"/>
        </w:rPr>
        <w:t xml:space="preserve"> Załącznik nr 1a do specyfikacji (formul</w:t>
      </w:r>
      <w:r w:rsidR="00BF60AA">
        <w:rPr>
          <w:rFonts w:ascii="Garamond" w:eastAsia="Times New Roman" w:hAnsi="Garamond" w:cs="Arial"/>
          <w:b/>
          <w:u w:val="single"/>
          <w:lang w:val="pl-PL" w:eastAsia="pl-PL"/>
        </w:rPr>
        <w:t>arz cenowy) w zakresie części 21</w:t>
      </w:r>
      <w:r w:rsidR="00D204DC" w:rsidRPr="0010556F">
        <w:rPr>
          <w:rFonts w:ascii="Garamond" w:eastAsia="Times New Roman" w:hAnsi="Garamond" w:cs="Arial"/>
          <w:b/>
          <w:u w:val="single"/>
          <w:lang w:val="pl-PL" w:eastAsia="pl-PL"/>
        </w:rPr>
        <w:t>:</w:t>
      </w:r>
    </w:p>
    <w:p w14:paraId="36865038" w14:textId="6D90B3F7" w:rsidR="00AC5DDB" w:rsidRPr="0010556F" w:rsidRDefault="00BF60AA" w:rsidP="00AC5DDB">
      <w:pPr>
        <w:widowControl/>
        <w:tabs>
          <w:tab w:val="left" w:pos="0"/>
        </w:tabs>
        <w:jc w:val="both"/>
        <w:rPr>
          <w:rFonts w:ascii="Garamond" w:eastAsia="Times New Roman" w:hAnsi="Garamond" w:cs="Arial"/>
          <w:u w:val="single"/>
          <w:lang w:val="pl-PL" w:eastAsia="pl-PL"/>
        </w:rPr>
      </w:pPr>
      <w:r>
        <w:rPr>
          <w:rFonts w:ascii="Garamond" w:eastAsia="Times New Roman" w:hAnsi="Garamond" w:cs="Arial"/>
          <w:u w:val="single"/>
          <w:lang w:val="pl-PL" w:eastAsia="pl-PL"/>
        </w:rPr>
        <w:t>W zakresie części 21</w:t>
      </w:r>
      <w:r w:rsidR="00D204DC" w:rsidRPr="0010556F">
        <w:rPr>
          <w:rFonts w:ascii="Garamond" w:eastAsia="Times New Roman" w:hAnsi="Garamond" w:cs="Arial"/>
          <w:u w:val="single"/>
          <w:lang w:val="pl-PL" w:eastAsia="pl-PL"/>
        </w:rPr>
        <w:t>:</w:t>
      </w:r>
    </w:p>
    <w:tbl>
      <w:tblPr>
        <w:tblStyle w:val="Tabela-Siatka"/>
        <w:tblW w:w="0" w:type="auto"/>
        <w:tblInd w:w="279" w:type="dxa"/>
        <w:tblLook w:val="04A0" w:firstRow="1" w:lastRow="0" w:firstColumn="1" w:lastColumn="0" w:noHBand="0" w:noVBand="1"/>
      </w:tblPr>
      <w:tblGrid>
        <w:gridCol w:w="595"/>
        <w:gridCol w:w="1673"/>
        <w:gridCol w:w="2355"/>
        <w:gridCol w:w="1958"/>
        <w:gridCol w:w="1033"/>
        <w:gridCol w:w="1169"/>
      </w:tblGrid>
      <w:tr w:rsidR="00FA0567" w:rsidRPr="00FA0567" w14:paraId="0CF0FB3F" w14:textId="77777777" w:rsidTr="00B529DD">
        <w:trPr>
          <w:trHeight w:val="426"/>
        </w:trPr>
        <w:tc>
          <w:tcPr>
            <w:tcW w:w="595" w:type="dxa"/>
            <w:hideMark/>
          </w:tcPr>
          <w:p w14:paraId="50E616C0" w14:textId="77777777" w:rsidR="00FA0567" w:rsidRPr="00FA0567" w:rsidRDefault="00FA0567" w:rsidP="005764B4">
            <w:pPr>
              <w:jc w:val="center"/>
              <w:rPr>
                <w:rFonts w:ascii="Garamond" w:hAnsi="Garamond"/>
                <w:bCs/>
                <w:lang w:val="pl-PL" w:eastAsia="pl-PL"/>
              </w:rPr>
            </w:pPr>
            <w:r w:rsidRPr="00FA0567">
              <w:rPr>
                <w:rFonts w:ascii="Garamond" w:hAnsi="Garamond"/>
                <w:bCs/>
                <w:lang w:val="pl-PL" w:eastAsia="pl-PL"/>
              </w:rPr>
              <w:t>Poz.</w:t>
            </w:r>
          </w:p>
        </w:tc>
        <w:tc>
          <w:tcPr>
            <w:tcW w:w="1673" w:type="dxa"/>
            <w:hideMark/>
          </w:tcPr>
          <w:p w14:paraId="260393A0" w14:textId="77777777" w:rsidR="00FA0567" w:rsidRPr="00FA0567" w:rsidRDefault="00FA0567" w:rsidP="005764B4">
            <w:pPr>
              <w:jc w:val="center"/>
              <w:rPr>
                <w:rFonts w:ascii="Garamond" w:hAnsi="Garamond"/>
                <w:bCs/>
                <w:lang w:val="pl-PL" w:eastAsia="pl-PL"/>
              </w:rPr>
            </w:pPr>
            <w:r w:rsidRPr="00FA0567">
              <w:rPr>
                <w:rFonts w:ascii="Garamond" w:hAnsi="Garamond"/>
                <w:bCs/>
                <w:lang w:val="pl-PL" w:eastAsia="pl-PL"/>
              </w:rPr>
              <w:t>Skład</w:t>
            </w:r>
          </w:p>
        </w:tc>
        <w:tc>
          <w:tcPr>
            <w:tcW w:w="2355" w:type="dxa"/>
            <w:hideMark/>
          </w:tcPr>
          <w:p w14:paraId="72432CBA" w14:textId="77777777" w:rsidR="00FA0567" w:rsidRPr="00FA0567" w:rsidRDefault="00FA0567" w:rsidP="005764B4">
            <w:pPr>
              <w:jc w:val="center"/>
              <w:rPr>
                <w:rFonts w:ascii="Garamond" w:hAnsi="Garamond"/>
                <w:bCs/>
                <w:lang w:val="pl-PL" w:eastAsia="pl-PL"/>
              </w:rPr>
            </w:pPr>
            <w:r w:rsidRPr="00FA0567">
              <w:rPr>
                <w:rFonts w:ascii="Garamond" w:hAnsi="Garamond"/>
                <w:bCs/>
                <w:lang w:val="pl-PL" w:eastAsia="pl-PL"/>
              </w:rPr>
              <w:t>Dawka</w:t>
            </w:r>
          </w:p>
        </w:tc>
        <w:tc>
          <w:tcPr>
            <w:tcW w:w="1958" w:type="dxa"/>
            <w:tcBorders>
              <w:right w:val="single" w:sz="4" w:space="0" w:color="auto"/>
            </w:tcBorders>
            <w:hideMark/>
          </w:tcPr>
          <w:p w14:paraId="1617BFFA" w14:textId="77777777" w:rsidR="00FA0567" w:rsidRPr="00FA0567" w:rsidRDefault="00FA0567" w:rsidP="005764B4">
            <w:pPr>
              <w:jc w:val="center"/>
              <w:rPr>
                <w:rFonts w:ascii="Garamond" w:hAnsi="Garamond"/>
                <w:bCs/>
                <w:lang w:val="pl-PL" w:eastAsia="pl-PL"/>
              </w:rPr>
            </w:pPr>
            <w:r w:rsidRPr="00FA0567">
              <w:rPr>
                <w:rFonts w:ascii="Garamond" w:hAnsi="Garamond"/>
                <w:bCs/>
                <w:lang w:val="pl-PL" w:eastAsia="pl-PL"/>
              </w:rPr>
              <w:t>Postać/ Opakowanie</w:t>
            </w:r>
          </w:p>
        </w:tc>
        <w:tc>
          <w:tcPr>
            <w:tcW w:w="1033" w:type="dxa"/>
            <w:tcBorders>
              <w:top w:val="single" w:sz="4" w:space="0" w:color="auto"/>
              <w:left w:val="single" w:sz="4" w:space="0" w:color="auto"/>
              <w:bottom w:val="single" w:sz="4" w:space="0" w:color="auto"/>
              <w:right w:val="nil"/>
            </w:tcBorders>
            <w:hideMark/>
          </w:tcPr>
          <w:p w14:paraId="282C9C95" w14:textId="40F1DE44" w:rsidR="00FA0567" w:rsidRPr="00FA0567" w:rsidRDefault="00FA0567" w:rsidP="005764B4">
            <w:pPr>
              <w:jc w:val="center"/>
              <w:rPr>
                <w:rFonts w:ascii="Garamond" w:hAnsi="Garamond"/>
                <w:bCs/>
                <w:lang w:val="pl-PL" w:eastAsia="pl-PL"/>
              </w:rPr>
            </w:pPr>
            <w:r w:rsidRPr="00FA0567">
              <w:rPr>
                <w:rFonts w:ascii="Garamond" w:hAnsi="Garamond"/>
                <w:bCs/>
                <w:lang w:val="pl-PL" w:eastAsia="pl-PL"/>
              </w:rPr>
              <w:t>Ilość</w:t>
            </w:r>
          </w:p>
        </w:tc>
        <w:tc>
          <w:tcPr>
            <w:tcW w:w="1169" w:type="dxa"/>
            <w:tcBorders>
              <w:top w:val="single" w:sz="4" w:space="0" w:color="auto"/>
              <w:left w:val="nil"/>
              <w:bottom w:val="single" w:sz="4" w:space="0" w:color="auto"/>
              <w:right w:val="single" w:sz="4" w:space="0" w:color="auto"/>
            </w:tcBorders>
            <w:hideMark/>
          </w:tcPr>
          <w:p w14:paraId="527FD3E6" w14:textId="19E8B2F1" w:rsidR="00FA0567" w:rsidRPr="00FA0567" w:rsidRDefault="00FA0567" w:rsidP="005764B4">
            <w:pPr>
              <w:jc w:val="center"/>
              <w:rPr>
                <w:rFonts w:ascii="Garamond" w:hAnsi="Garamond"/>
                <w:lang w:val="pl-PL" w:eastAsia="pl-PL"/>
              </w:rPr>
            </w:pPr>
          </w:p>
        </w:tc>
      </w:tr>
      <w:tr w:rsidR="00FA0567" w:rsidRPr="00FA0567" w14:paraId="4A2F63C5" w14:textId="77777777" w:rsidTr="00B529DD">
        <w:trPr>
          <w:trHeight w:val="560"/>
        </w:trPr>
        <w:tc>
          <w:tcPr>
            <w:tcW w:w="595" w:type="dxa"/>
            <w:hideMark/>
          </w:tcPr>
          <w:p w14:paraId="13E34774" w14:textId="77777777" w:rsidR="00FA0567" w:rsidRPr="00FA0567" w:rsidRDefault="00FA0567" w:rsidP="00FA0567">
            <w:pPr>
              <w:jc w:val="both"/>
              <w:rPr>
                <w:rFonts w:ascii="Garamond" w:hAnsi="Garamond"/>
                <w:lang w:val="pl-PL" w:eastAsia="pl-PL"/>
              </w:rPr>
            </w:pPr>
            <w:r w:rsidRPr="00FA0567">
              <w:rPr>
                <w:rFonts w:ascii="Garamond" w:hAnsi="Garamond"/>
                <w:lang w:val="pl-PL" w:eastAsia="pl-PL"/>
              </w:rPr>
              <w:t>1.</w:t>
            </w:r>
          </w:p>
        </w:tc>
        <w:tc>
          <w:tcPr>
            <w:tcW w:w="1673" w:type="dxa"/>
            <w:hideMark/>
          </w:tcPr>
          <w:p w14:paraId="1138DD06" w14:textId="49B89572" w:rsidR="00FA0567" w:rsidRPr="00FA0567" w:rsidRDefault="00B529DD" w:rsidP="00FA0567">
            <w:pPr>
              <w:jc w:val="both"/>
              <w:rPr>
                <w:rFonts w:ascii="Garamond" w:hAnsi="Garamond"/>
                <w:lang w:val="pl-PL" w:eastAsia="pl-PL"/>
              </w:rPr>
            </w:pPr>
            <w:proofErr w:type="spellStart"/>
            <w:r>
              <w:rPr>
                <w:rFonts w:ascii="Garamond" w:hAnsi="Garamond"/>
                <w:lang w:val="pl-PL" w:eastAsia="pl-PL"/>
              </w:rPr>
              <w:t>Vinorelbinum</w:t>
            </w:r>
            <w:proofErr w:type="spellEnd"/>
          </w:p>
        </w:tc>
        <w:tc>
          <w:tcPr>
            <w:tcW w:w="2355" w:type="dxa"/>
            <w:hideMark/>
          </w:tcPr>
          <w:p w14:paraId="4D83E547" w14:textId="77777777" w:rsidR="00FA0567" w:rsidRPr="00FA0567" w:rsidRDefault="00FA0567" w:rsidP="00FA0567">
            <w:pPr>
              <w:jc w:val="both"/>
              <w:rPr>
                <w:rFonts w:ascii="Garamond" w:hAnsi="Garamond"/>
                <w:lang w:val="pl-PL" w:eastAsia="pl-PL"/>
              </w:rPr>
            </w:pPr>
            <w:r w:rsidRPr="00FA0567">
              <w:rPr>
                <w:rFonts w:ascii="Garamond" w:hAnsi="Garamond"/>
                <w:lang w:val="pl-PL" w:eastAsia="pl-PL"/>
              </w:rPr>
              <w:t>20 mg</w:t>
            </w:r>
          </w:p>
        </w:tc>
        <w:tc>
          <w:tcPr>
            <w:tcW w:w="1958" w:type="dxa"/>
            <w:hideMark/>
          </w:tcPr>
          <w:p w14:paraId="57FFB42D" w14:textId="77777777" w:rsidR="00FA0567" w:rsidRPr="00FA0567" w:rsidRDefault="00FA0567" w:rsidP="00FA0567">
            <w:pPr>
              <w:jc w:val="both"/>
              <w:rPr>
                <w:rFonts w:ascii="Garamond" w:hAnsi="Garamond"/>
                <w:lang w:val="pl-PL" w:eastAsia="pl-PL"/>
              </w:rPr>
            </w:pPr>
            <w:r w:rsidRPr="00FA0567">
              <w:rPr>
                <w:rFonts w:ascii="Garamond" w:hAnsi="Garamond"/>
                <w:lang w:val="pl-PL" w:eastAsia="pl-PL"/>
              </w:rPr>
              <w:t>kaps</w:t>
            </w:r>
          </w:p>
        </w:tc>
        <w:tc>
          <w:tcPr>
            <w:tcW w:w="1033" w:type="dxa"/>
            <w:tcBorders>
              <w:top w:val="single" w:sz="4" w:space="0" w:color="auto"/>
            </w:tcBorders>
            <w:hideMark/>
          </w:tcPr>
          <w:p w14:paraId="40CBAA68" w14:textId="3EDEF820" w:rsidR="00FA0567" w:rsidRDefault="00FA0567" w:rsidP="00FA0567">
            <w:pPr>
              <w:jc w:val="both"/>
              <w:rPr>
                <w:rFonts w:ascii="Garamond" w:hAnsi="Garamond"/>
                <w:color w:val="FF0000"/>
                <w:lang w:val="pl-PL" w:eastAsia="pl-PL"/>
              </w:rPr>
            </w:pPr>
            <w:r w:rsidRPr="00FA0567">
              <w:rPr>
                <w:rFonts w:ascii="Garamond" w:hAnsi="Garamond"/>
                <w:color w:val="FF0000"/>
                <w:lang w:val="pl-PL" w:eastAsia="pl-PL"/>
              </w:rPr>
              <w:t>18</w:t>
            </w:r>
            <w:r w:rsidR="00427D70">
              <w:rPr>
                <w:rFonts w:ascii="Garamond" w:hAnsi="Garamond"/>
                <w:color w:val="FF0000"/>
                <w:lang w:val="pl-PL" w:eastAsia="pl-PL"/>
              </w:rPr>
              <w:t> </w:t>
            </w:r>
            <w:r w:rsidRPr="00FA0567">
              <w:rPr>
                <w:rFonts w:ascii="Garamond" w:hAnsi="Garamond"/>
                <w:color w:val="FF0000"/>
                <w:lang w:val="pl-PL" w:eastAsia="pl-PL"/>
              </w:rPr>
              <w:t>000</w:t>
            </w:r>
          </w:p>
          <w:p w14:paraId="07B004F5" w14:textId="7CA156A5" w:rsidR="00427D70" w:rsidRPr="00FA0567" w:rsidRDefault="00427D70" w:rsidP="00FA0567">
            <w:pPr>
              <w:jc w:val="both"/>
              <w:rPr>
                <w:rFonts w:ascii="Garamond" w:hAnsi="Garamond"/>
                <w:lang w:val="pl-PL" w:eastAsia="pl-PL"/>
              </w:rPr>
            </w:pPr>
            <w:r w:rsidRPr="00FA0567">
              <w:rPr>
                <w:rFonts w:ascii="Garamond" w:hAnsi="Garamond"/>
                <w:strike/>
                <w:color w:val="FF0000"/>
                <w:lang w:val="pl-PL" w:eastAsia="pl-PL"/>
              </w:rPr>
              <w:t>126000</w:t>
            </w:r>
          </w:p>
        </w:tc>
        <w:tc>
          <w:tcPr>
            <w:tcW w:w="1169" w:type="dxa"/>
            <w:tcBorders>
              <w:top w:val="single" w:sz="4" w:space="0" w:color="auto"/>
            </w:tcBorders>
            <w:hideMark/>
          </w:tcPr>
          <w:p w14:paraId="06BADFFB" w14:textId="77777777" w:rsidR="00FA0567" w:rsidRPr="00FA0567" w:rsidRDefault="00FA0567" w:rsidP="00FA0567">
            <w:pPr>
              <w:jc w:val="both"/>
              <w:rPr>
                <w:rFonts w:ascii="Garamond" w:hAnsi="Garamond"/>
                <w:lang w:val="pl-PL" w:eastAsia="pl-PL"/>
              </w:rPr>
            </w:pPr>
            <w:r w:rsidRPr="00FA0567">
              <w:rPr>
                <w:rFonts w:ascii="Garamond" w:hAnsi="Garamond"/>
                <w:lang w:val="pl-PL" w:eastAsia="pl-PL"/>
              </w:rPr>
              <w:t>sztuk</w:t>
            </w:r>
          </w:p>
        </w:tc>
      </w:tr>
    </w:tbl>
    <w:p w14:paraId="2E10A6CD" w14:textId="66F84882" w:rsidR="00B17CDC" w:rsidRDefault="00B17CDC" w:rsidP="00B17CDC">
      <w:pPr>
        <w:jc w:val="both"/>
        <w:rPr>
          <w:rFonts w:ascii="Garamond" w:hAnsi="Garamond"/>
          <w:b/>
          <w:lang w:val="pl-PL" w:eastAsia="pl-PL"/>
        </w:rPr>
      </w:pPr>
    </w:p>
    <w:p w14:paraId="34A6D6CF" w14:textId="21B04781" w:rsidR="009531A7" w:rsidRDefault="009531A7" w:rsidP="009531A7">
      <w:pPr>
        <w:jc w:val="both"/>
        <w:rPr>
          <w:rFonts w:ascii="Garamond" w:hAnsi="Garamond"/>
          <w:b/>
          <w:u w:val="single"/>
          <w:lang w:val="pl-PL" w:eastAsia="pl-PL"/>
        </w:rPr>
      </w:pPr>
      <w:r w:rsidRPr="009531A7">
        <w:rPr>
          <w:rFonts w:ascii="Garamond" w:hAnsi="Garamond"/>
          <w:b/>
          <w:u w:val="single"/>
          <w:lang w:val="pl-PL" w:eastAsia="pl-PL"/>
        </w:rPr>
        <w:t>IV. Załącznik nr 3 do specyfikacji (wzór umowy) w zakresie §4 ust. 9</w:t>
      </w:r>
      <w:r>
        <w:rPr>
          <w:rFonts w:ascii="Garamond" w:hAnsi="Garamond"/>
          <w:b/>
          <w:u w:val="single"/>
          <w:lang w:val="pl-PL" w:eastAsia="pl-PL"/>
        </w:rPr>
        <w:t>:</w:t>
      </w:r>
    </w:p>
    <w:p w14:paraId="02B3F5CF" w14:textId="77777777" w:rsidR="009531A7" w:rsidRPr="00DD7D0D" w:rsidRDefault="009531A7" w:rsidP="009531A7">
      <w:pPr>
        <w:jc w:val="both"/>
        <w:rPr>
          <w:rFonts w:ascii="Garamond" w:hAnsi="Garamond"/>
          <w:b/>
          <w:i/>
          <w:u w:val="single"/>
          <w:lang w:val="pl-PL" w:eastAsia="pl-PL"/>
        </w:rPr>
      </w:pPr>
    </w:p>
    <w:p w14:paraId="3DD98C3C" w14:textId="3F7BFCE4" w:rsidR="009531A7" w:rsidRPr="00DD7D0D" w:rsidRDefault="009531A7" w:rsidP="009531A7">
      <w:pPr>
        <w:jc w:val="both"/>
        <w:rPr>
          <w:rFonts w:ascii="Garamond" w:hAnsi="Garamond"/>
          <w:b/>
          <w:i/>
          <w:lang w:val="pl-PL" w:eastAsia="pl-PL"/>
        </w:rPr>
      </w:pPr>
      <w:r w:rsidRPr="00DD7D0D">
        <w:rPr>
          <w:rFonts w:ascii="Garamond" w:hAnsi="Garamond"/>
          <w:b/>
          <w:i/>
          <w:lang w:val="pl-PL" w:eastAsia="pl-PL"/>
        </w:rPr>
        <w:t xml:space="preserve"> </w:t>
      </w:r>
      <w:r w:rsidRPr="00DD7D0D">
        <w:rPr>
          <w:rFonts w:ascii="Garamond" w:hAnsi="Garamond"/>
          <w:b/>
          <w:i/>
          <w:lang w:val="pl-PL" w:eastAsia="pl-PL"/>
        </w:rPr>
        <w:t>„9. Zapłata za dostarczony towar nastąpi w formie przelewu na rachunek bankowy wskazany przez Wykonawcę na fakturze w terminie 60 dni liczonym od dnia dostarczenia prawidłowo wystawionej faktury do Szpitala Uniwersyteckiego w formie papierowej. W przypadku, gdy Szpital Uniwersytecki oraz Wykonawcę łączy więcej niż jedna umowa, Wykonawca zobowiązuje się do wystawiania faktur każdorazowo odrębnie dla każdej z umów, oznaczając właściwy numer umowy.”</w:t>
      </w:r>
    </w:p>
    <w:p w14:paraId="12A18894" w14:textId="5A014FC2" w:rsidR="009531A7" w:rsidRDefault="009531A7" w:rsidP="009531A7">
      <w:pPr>
        <w:jc w:val="both"/>
        <w:rPr>
          <w:rFonts w:ascii="Garamond" w:hAnsi="Garamond"/>
          <w:b/>
          <w:lang w:val="pl-PL" w:eastAsia="pl-PL"/>
        </w:rPr>
      </w:pPr>
    </w:p>
    <w:p w14:paraId="7F5DB5F1" w14:textId="4919D10A" w:rsidR="009531A7" w:rsidRDefault="009531A7" w:rsidP="009531A7">
      <w:pPr>
        <w:jc w:val="both"/>
        <w:rPr>
          <w:rFonts w:ascii="Garamond" w:hAnsi="Garamond"/>
          <w:b/>
          <w:lang w:val="pl-PL" w:eastAsia="pl-PL"/>
        </w:rPr>
      </w:pPr>
      <w:bookmarkStart w:id="0" w:name="_GoBack"/>
      <w:bookmarkEnd w:id="0"/>
    </w:p>
    <w:p w14:paraId="7E755B73" w14:textId="77423D6A" w:rsidR="009531A7" w:rsidRDefault="009531A7" w:rsidP="009531A7">
      <w:pPr>
        <w:jc w:val="both"/>
        <w:rPr>
          <w:rFonts w:ascii="Garamond" w:hAnsi="Garamond"/>
          <w:b/>
          <w:lang w:val="pl-PL" w:eastAsia="pl-PL"/>
        </w:rPr>
      </w:pPr>
    </w:p>
    <w:p w14:paraId="433B086A" w14:textId="4ABE9C8E" w:rsidR="009531A7" w:rsidRDefault="009531A7" w:rsidP="009531A7">
      <w:pPr>
        <w:jc w:val="both"/>
        <w:rPr>
          <w:rFonts w:ascii="Garamond" w:hAnsi="Garamond"/>
          <w:b/>
          <w:lang w:val="pl-PL" w:eastAsia="pl-PL"/>
        </w:rPr>
      </w:pPr>
    </w:p>
    <w:p w14:paraId="0D88C975" w14:textId="53A5471F" w:rsidR="009531A7" w:rsidRDefault="009531A7" w:rsidP="009531A7">
      <w:pPr>
        <w:jc w:val="both"/>
        <w:rPr>
          <w:rFonts w:ascii="Garamond" w:hAnsi="Garamond"/>
          <w:b/>
          <w:lang w:val="pl-PL" w:eastAsia="pl-PL"/>
        </w:rPr>
      </w:pPr>
    </w:p>
    <w:p w14:paraId="06A66441" w14:textId="3860CBFC" w:rsidR="009531A7" w:rsidRDefault="009531A7" w:rsidP="009531A7">
      <w:pPr>
        <w:jc w:val="both"/>
        <w:rPr>
          <w:rFonts w:ascii="Garamond" w:hAnsi="Garamond"/>
          <w:b/>
          <w:lang w:val="pl-PL" w:eastAsia="pl-PL"/>
        </w:rPr>
      </w:pPr>
    </w:p>
    <w:p w14:paraId="747E4920" w14:textId="77777777" w:rsidR="009531A7" w:rsidRDefault="009531A7" w:rsidP="009531A7">
      <w:pPr>
        <w:jc w:val="both"/>
        <w:rPr>
          <w:rFonts w:ascii="Garamond" w:hAnsi="Garamond"/>
          <w:b/>
          <w:lang w:val="pl-PL" w:eastAsia="pl-PL"/>
        </w:rPr>
      </w:pPr>
    </w:p>
    <w:p w14:paraId="5AF2DFCF" w14:textId="0169459F" w:rsidR="005268E3" w:rsidRDefault="005268E3" w:rsidP="00AD14DB">
      <w:pPr>
        <w:ind w:firstLine="708"/>
        <w:jc w:val="both"/>
        <w:rPr>
          <w:rFonts w:ascii="Garamond" w:hAnsi="Garamond"/>
          <w:b/>
          <w:lang w:val="pl-PL" w:eastAsia="pl-PL"/>
        </w:rPr>
      </w:pPr>
      <w:r w:rsidRPr="005268E3">
        <w:rPr>
          <w:rFonts w:ascii="Garamond" w:hAnsi="Garamond"/>
          <w:b/>
          <w:lang w:val="pl-PL" w:eastAsia="pl-PL"/>
        </w:rPr>
        <w:lastRenderedPageBreak/>
        <w:t>W załączeniu przekazuję zmodyfikowany</w:t>
      </w:r>
      <w:r w:rsidR="00AD14DB">
        <w:rPr>
          <w:rFonts w:ascii="Garamond" w:hAnsi="Garamond"/>
          <w:b/>
          <w:lang w:val="pl-PL" w:eastAsia="pl-PL"/>
        </w:rPr>
        <w:t xml:space="preserve"> </w:t>
      </w:r>
      <w:r w:rsidR="005764B4">
        <w:rPr>
          <w:rFonts w:ascii="Garamond" w:hAnsi="Garamond"/>
          <w:b/>
          <w:lang w:val="pl-PL" w:eastAsia="pl-PL"/>
        </w:rPr>
        <w:t xml:space="preserve">w zakresie cz. 21 </w:t>
      </w:r>
      <w:r w:rsidRPr="005268E3">
        <w:rPr>
          <w:rFonts w:ascii="Garamond" w:hAnsi="Garamond"/>
          <w:b/>
          <w:lang w:val="pl-PL" w:eastAsia="pl-PL"/>
        </w:rPr>
        <w:t>opis przedmiotu zamówienia stanowiący załąc</w:t>
      </w:r>
      <w:r w:rsidR="00D204DC">
        <w:rPr>
          <w:rFonts w:ascii="Garamond" w:hAnsi="Garamond"/>
          <w:b/>
          <w:lang w:val="pl-PL" w:eastAsia="pl-PL"/>
        </w:rPr>
        <w:t>zni</w:t>
      </w:r>
      <w:r w:rsidR="00AD14DB">
        <w:rPr>
          <w:rFonts w:ascii="Garamond" w:hAnsi="Garamond"/>
          <w:b/>
          <w:lang w:val="pl-PL" w:eastAsia="pl-PL"/>
        </w:rPr>
        <w:t xml:space="preserve">k nr 1a do specyfikacji. </w:t>
      </w:r>
    </w:p>
    <w:p w14:paraId="4E6187BC" w14:textId="3AB6E9AE" w:rsidR="00AD14DB" w:rsidRPr="005268E3" w:rsidRDefault="00AD14DB" w:rsidP="003168F8">
      <w:pPr>
        <w:jc w:val="both"/>
        <w:rPr>
          <w:rFonts w:ascii="Garamond" w:hAnsi="Garamond"/>
          <w:b/>
          <w:lang w:val="pl-PL" w:eastAsia="pl-PL"/>
        </w:rPr>
      </w:pPr>
    </w:p>
    <w:p w14:paraId="3280DEE4" w14:textId="46011E93" w:rsidR="005268E3" w:rsidRPr="00511307" w:rsidRDefault="005268E3" w:rsidP="005268E3">
      <w:pPr>
        <w:ind w:firstLine="720"/>
        <w:jc w:val="both"/>
        <w:rPr>
          <w:rFonts w:ascii="Garamond" w:hAnsi="Garamond"/>
          <w:b/>
          <w:lang w:val="pl-PL" w:eastAsia="pl-PL"/>
        </w:rPr>
      </w:pPr>
      <w:r w:rsidRPr="005764B4">
        <w:rPr>
          <w:rFonts w:ascii="Garamond" w:hAnsi="Garamond"/>
          <w:b/>
          <w:lang w:val="pl-PL" w:eastAsia="pl-PL"/>
        </w:rPr>
        <w:t xml:space="preserve">Informuję, że w związku z konieczności dokonania modyfikacji </w:t>
      </w:r>
      <w:r w:rsidR="00B1258A" w:rsidRPr="005764B4">
        <w:rPr>
          <w:rFonts w:ascii="Garamond" w:hAnsi="Garamond"/>
          <w:b/>
          <w:lang w:val="pl-PL" w:eastAsia="pl-PL"/>
        </w:rPr>
        <w:t>(II</w:t>
      </w:r>
      <w:r w:rsidR="00AD14DB" w:rsidRPr="005764B4">
        <w:rPr>
          <w:rFonts w:ascii="Garamond" w:hAnsi="Garamond"/>
          <w:b/>
          <w:lang w:val="pl-PL" w:eastAsia="pl-PL"/>
        </w:rPr>
        <w:t>I</w:t>
      </w:r>
      <w:r w:rsidR="00B1258A" w:rsidRPr="005764B4">
        <w:rPr>
          <w:rFonts w:ascii="Garamond" w:hAnsi="Garamond"/>
          <w:b/>
          <w:lang w:val="pl-PL" w:eastAsia="pl-PL"/>
        </w:rPr>
        <w:t xml:space="preserve">) </w:t>
      </w:r>
      <w:r w:rsidRPr="005764B4">
        <w:rPr>
          <w:rFonts w:ascii="Garamond" w:hAnsi="Garamond"/>
          <w:b/>
          <w:lang w:val="pl-PL" w:eastAsia="pl-PL"/>
        </w:rPr>
        <w:t xml:space="preserve">termin składania ofert uległ przedłużeniu </w:t>
      </w:r>
      <w:r w:rsidR="005764B4" w:rsidRPr="005764B4">
        <w:rPr>
          <w:rFonts w:ascii="Garamond" w:hAnsi="Garamond"/>
          <w:b/>
          <w:lang w:val="pl-PL" w:eastAsia="pl-PL"/>
        </w:rPr>
        <w:t>do dnia 10</w:t>
      </w:r>
      <w:r w:rsidR="00B1258A" w:rsidRPr="005764B4">
        <w:rPr>
          <w:rFonts w:ascii="Garamond" w:hAnsi="Garamond"/>
          <w:b/>
          <w:lang w:val="pl-PL" w:eastAsia="pl-PL"/>
        </w:rPr>
        <w:t>.02</w:t>
      </w:r>
      <w:r w:rsidR="005764B4" w:rsidRPr="005764B4">
        <w:rPr>
          <w:rFonts w:ascii="Garamond" w:hAnsi="Garamond"/>
          <w:b/>
          <w:lang w:val="pl-PL" w:eastAsia="pl-PL"/>
        </w:rPr>
        <w:t>.2020 r. do godz. 9</w:t>
      </w:r>
      <w:r w:rsidR="00A447A7" w:rsidRPr="005764B4">
        <w:rPr>
          <w:rFonts w:ascii="Garamond" w:hAnsi="Garamond"/>
          <w:b/>
          <w:lang w:val="pl-PL" w:eastAsia="pl-PL"/>
        </w:rPr>
        <w:t>:0</w:t>
      </w:r>
      <w:r w:rsidRPr="005764B4">
        <w:rPr>
          <w:rFonts w:ascii="Garamond" w:hAnsi="Garamond"/>
          <w:b/>
          <w:lang w:val="pl-PL" w:eastAsia="pl-PL"/>
        </w:rPr>
        <w:t>0. Otw</w:t>
      </w:r>
      <w:r w:rsidR="005764B4" w:rsidRPr="005764B4">
        <w:rPr>
          <w:rFonts w:ascii="Garamond" w:hAnsi="Garamond"/>
          <w:b/>
          <w:lang w:val="pl-PL" w:eastAsia="pl-PL"/>
        </w:rPr>
        <w:t>arcie ofert nastąpi w dniu 10</w:t>
      </w:r>
      <w:r w:rsidR="00B1258A" w:rsidRPr="005764B4">
        <w:rPr>
          <w:rFonts w:ascii="Garamond" w:hAnsi="Garamond"/>
          <w:b/>
          <w:lang w:val="pl-PL" w:eastAsia="pl-PL"/>
        </w:rPr>
        <w:t>.02</w:t>
      </w:r>
      <w:r w:rsidR="00986B78" w:rsidRPr="005764B4">
        <w:rPr>
          <w:rFonts w:ascii="Garamond" w:hAnsi="Garamond"/>
          <w:b/>
          <w:lang w:val="pl-PL" w:eastAsia="pl-PL"/>
        </w:rPr>
        <w:t>.2020 r. o </w:t>
      </w:r>
      <w:r w:rsidR="00A447A7" w:rsidRPr="005764B4">
        <w:rPr>
          <w:rFonts w:ascii="Garamond" w:hAnsi="Garamond"/>
          <w:b/>
          <w:lang w:val="pl-PL" w:eastAsia="pl-PL"/>
        </w:rPr>
        <w:t xml:space="preserve">godz. </w:t>
      </w:r>
      <w:r w:rsidR="005764B4" w:rsidRPr="005764B4">
        <w:rPr>
          <w:rFonts w:ascii="Garamond" w:hAnsi="Garamond"/>
          <w:b/>
          <w:lang w:val="pl-PL" w:eastAsia="pl-PL"/>
        </w:rPr>
        <w:t>9</w:t>
      </w:r>
      <w:r w:rsidR="00A447A7" w:rsidRPr="005764B4">
        <w:rPr>
          <w:rFonts w:ascii="Garamond" w:hAnsi="Garamond"/>
          <w:b/>
          <w:lang w:val="pl-PL" w:eastAsia="pl-PL"/>
        </w:rPr>
        <w:t>:0</w:t>
      </w:r>
      <w:r w:rsidRPr="005764B4">
        <w:rPr>
          <w:rFonts w:ascii="Garamond" w:hAnsi="Garamond"/>
          <w:b/>
          <w:lang w:val="pl-PL" w:eastAsia="pl-PL"/>
        </w:rPr>
        <w:t>0. Pozostałe informacje dotyczące składania i otwarcia ofert pozostają bez zmian.</w:t>
      </w:r>
    </w:p>
    <w:p w14:paraId="1A716369" w14:textId="77777777" w:rsidR="006C26D5" w:rsidRPr="006C26D5" w:rsidRDefault="006C26D5" w:rsidP="006C26D5">
      <w:pPr>
        <w:rPr>
          <w:lang w:val="pl-PL"/>
        </w:rPr>
      </w:pPr>
    </w:p>
    <w:sectPr w:rsidR="006C26D5" w:rsidRPr="006C26D5" w:rsidSect="00844878">
      <w:headerReference w:type="default" r:id="rId10"/>
      <w:footerReference w:type="even" r:id="rId11"/>
      <w:footerReference w:type="default" r:id="rId12"/>
      <w:pgSz w:w="11906" w:h="16838"/>
      <w:pgMar w:top="1167" w:right="1417" w:bottom="1417"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0E69E7" w14:textId="77777777" w:rsidR="008055F3" w:rsidRDefault="008055F3" w:rsidP="00E22E7B">
      <w:r>
        <w:separator/>
      </w:r>
    </w:p>
  </w:endnote>
  <w:endnote w:type="continuationSeparator" w:id="0">
    <w:p w14:paraId="113AC0F7" w14:textId="77777777" w:rsidR="008055F3" w:rsidRDefault="008055F3" w:rsidP="00E22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dobe Garamond Pro">
    <w:altName w:val="Georgia"/>
    <w:panose1 w:val="00000000000000000000"/>
    <w:charset w:val="00"/>
    <w:family w:val="roman"/>
    <w:notTrueType/>
    <w:pitch w:val="variable"/>
    <w:sig w:usb0="00000001" w:usb1="00000001" w:usb2="00000000" w:usb3="00000000" w:csb0="00000093"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778F80" w14:textId="77777777" w:rsidR="000F4D22" w:rsidRDefault="000F4D22" w:rsidP="000F4D22">
    <w:pPr>
      <w:pStyle w:val="Stopka"/>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D26C2D" w14:textId="24FD7D30" w:rsidR="003B6BF5" w:rsidRPr="00F23992" w:rsidRDefault="005648AF" w:rsidP="000F4D22">
    <w:pPr>
      <w:pStyle w:val="Stopka"/>
      <w:jc w:val="center"/>
      <w:rPr>
        <w:rFonts w:ascii="Adobe Garamond Pro" w:hAnsi="Adobe Garamond Pro"/>
        <w:color w:val="B5123E"/>
        <w:sz w:val="24"/>
        <w:lang w:val="pl-PL"/>
      </w:rPr>
    </w:pPr>
    <w:r w:rsidRPr="00F23992">
      <w:rPr>
        <w:rFonts w:ascii="Adobe Garamond Pro" w:hAnsi="Adobe Garamond Pro"/>
        <w:color w:val="B5123E"/>
        <w:sz w:val="24"/>
        <w:lang w:val="pl-PL"/>
      </w:rPr>
      <w:t xml:space="preserve">PL 31-501 Kraków, ul. </w:t>
    </w:r>
    <w:r w:rsidR="00AA2535" w:rsidRPr="00F23992">
      <w:rPr>
        <w:rFonts w:ascii="Adobe Garamond Pro" w:hAnsi="Adobe Garamond Pro"/>
        <w:color w:val="B5123E"/>
        <w:sz w:val="24"/>
        <w:lang w:val="pl-PL"/>
      </w:rPr>
      <w:t xml:space="preserve">Mikołaja </w:t>
    </w:r>
    <w:r w:rsidRPr="00F23992">
      <w:rPr>
        <w:rFonts w:ascii="Adobe Garamond Pro" w:hAnsi="Adobe Garamond Pro"/>
        <w:color w:val="B5123E"/>
        <w:sz w:val="24"/>
        <w:lang w:val="pl-PL"/>
      </w:rPr>
      <w:t xml:space="preserve">Kopernika 36, </w:t>
    </w:r>
  </w:p>
  <w:p w14:paraId="578CC9C5" w14:textId="77777777" w:rsidR="00E22E7B" w:rsidRPr="005648AF" w:rsidRDefault="005648AF" w:rsidP="000F4D22">
    <w:pPr>
      <w:pStyle w:val="Stopka"/>
      <w:jc w:val="center"/>
    </w:pPr>
    <w:r w:rsidRPr="003F447D">
      <w:rPr>
        <w:rFonts w:ascii="Adobe Garamond Pro" w:hAnsi="Adobe Garamond Pro"/>
        <w:color w:val="B5123E"/>
        <w:sz w:val="24"/>
      </w:rPr>
      <w:t>tel. +(48) 12 424 70 01, fax. +(48) 12 424 74 87</w:t>
    </w:r>
    <w:r w:rsidRPr="003F447D">
      <w:rPr>
        <w:rFonts w:ascii="Adobe Garamond Pro" w:hAnsi="Adobe Garamond Pro"/>
        <w:color w:val="B5123E"/>
        <w:sz w:val="24"/>
      </w:rPr>
      <w:br/>
      <w:t>www.su.krakow.pl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F01F81" w14:textId="77777777" w:rsidR="008055F3" w:rsidRDefault="008055F3" w:rsidP="00E22E7B">
      <w:r>
        <w:separator/>
      </w:r>
    </w:p>
  </w:footnote>
  <w:footnote w:type="continuationSeparator" w:id="0">
    <w:p w14:paraId="45FBC765" w14:textId="77777777" w:rsidR="008055F3" w:rsidRDefault="008055F3" w:rsidP="00E22E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5F7D9" w14:textId="355CD024" w:rsidR="00E22E7B" w:rsidRDefault="00EF50AB" w:rsidP="000F4D22">
    <w:pPr>
      <w:pStyle w:val="Nagwek"/>
      <w:jc w:val="center"/>
    </w:pPr>
    <w:r>
      <w:rPr>
        <w:noProof/>
        <w:lang w:val="pl-PL" w:eastAsia="pl-PL"/>
      </w:rPr>
      <w:drawing>
        <wp:inline distT="0" distB="0" distL="0" distR="0" wp14:anchorId="4C5369CB" wp14:editId="72F17D32">
          <wp:extent cx="1762125" cy="952500"/>
          <wp:effectExtent l="0" t="0" r="9525" b="0"/>
          <wp:docPr id="2" name="Obraz 2" descr="logdASDADoasda_newZasób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dASDADoasda_newZasób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952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302A18"/>
    <w:multiLevelType w:val="hybridMultilevel"/>
    <w:tmpl w:val="40404852"/>
    <w:lvl w:ilvl="0" w:tplc="A2F8A1AE">
      <w:start w:val="1"/>
      <w:numFmt w:val="bullet"/>
      <w:lvlText w:val=""/>
      <w:lvlJc w:val="left"/>
      <w:pPr>
        <w:ind w:left="360" w:hanging="360"/>
      </w:pPr>
      <w:rPr>
        <w:rFonts w:ascii="Symbol" w:hAnsi="Symbol" w:hint="default"/>
      </w:rPr>
    </w:lvl>
    <w:lvl w:ilvl="1" w:tplc="04150003">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 w15:restartNumberingAfterBreak="0">
    <w:nsid w:val="66A46EE4"/>
    <w:multiLevelType w:val="hybridMultilevel"/>
    <w:tmpl w:val="C1AEA962"/>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 w15:restartNumberingAfterBreak="0">
    <w:nsid w:val="66E3681D"/>
    <w:multiLevelType w:val="hybridMultilevel"/>
    <w:tmpl w:val="47F2980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E7B"/>
    <w:rsid w:val="00025468"/>
    <w:rsid w:val="00042A7C"/>
    <w:rsid w:val="000463B3"/>
    <w:rsid w:val="00065CA7"/>
    <w:rsid w:val="00074020"/>
    <w:rsid w:val="000869B1"/>
    <w:rsid w:val="00092B36"/>
    <w:rsid w:val="000B2E90"/>
    <w:rsid w:val="000C2F5E"/>
    <w:rsid w:val="000F4D22"/>
    <w:rsid w:val="0010556F"/>
    <w:rsid w:val="00113EE3"/>
    <w:rsid w:val="0013560D"/>
    <w:rsid w:val="00147A23"/>
    <w:rsid w:val="00173C88"/>
    <w:rsid w:val="00186881"/>
    <w:rsid w:val="001B4A5F"/>
    <w:rsid w:val="001B63E8"/>
    <w:rsid w:val="001D6159"/>
    <w:rsid w:val="00273808"/>
    <w:rsid w:val="002847D5"/>
    <w:rsid w:val="00284FD2"/>
    <w:rsid w:val="00296489"/>
    <w:rsid w:val="002C55A6"/>
    <w:rsid w:val="002F096C"/>
    <w:rsid w:val="003168F8"/>
    <w:rsid w:val="00351CEC"/>
    <w:rsid w:val="003738BA"/>
    <w:rsid w:val="00376237"/>
    <w:rsid w:val="003A3670"/>
    <w:rsid w:val="003B344D"/>
    <w:rsid w:val="003B4044"/>
    <w:rsid w:val="003B6BF5"/>
    <w:rsid w:val="003F447D"/>
    <w:rsid w:val="003F4FB4"/>
    <w:rsid w:val="00412ED7"/>
    <w:rsid w:val="00427D70"/>
    <w:rsid w:val="0044092C"/>
    <w:rsid w:val="00464931"/>
    <w:rsid w:val="00490DED"/>
    <w:rsid w:val="004912C4"/>
    <w:rsid w:val="004C7D00"/>
    <w:rsid w:val="004D32BC"/>
    <w:rsid w:val="00511307"/>
    <w:rsid w:val="00512996"/>
    <w:rsid w:val="00521DD9"/>
    <w:rsid w:val="005268E3"/>
    <w:rsid w:val="00562996"/>
    <w:rsid w:val="005648AF"/>
    <w:rsid w:val="005764B4"/>
    <w:rsid w:val="005943BC"/>
    <w:rsid w:val="005B1EBC"/>
    <w:rsid w:val="005B262E"/>
    <w:rsid w:val="005B3AAA"/>
    <w:rsid w:val="005E23FE"/>
    <w:rsid w:val="00600795"/>
    <w:rsid w:val="0065213B"/>
    <w:rsid w:val="00653C5F"/>
    <w:rsid w:val="006771C2"/>
    <w:rsid w:val="00693A28"/>
    <w:rsid w:val="006B1CB7"/>
    <w:rsid w:val="006B47B1"/>
    <w:rsid w:val="006C26D5"/>
    <w:rsid w:val="00704F42"/>
    <w:rsid w:val="00735636"/>
    <w:rsid w:val="007710AA"/>
    <w:rsid w:val="00777FC7"/>
    <w:rsid w:val="007D3B78"/>
    <w:rsid w:val="007D40FE"/>
    <w:rsid w:val="007E2AB6"/>
    <w:rsid w:val="008055F3"/>
    <w:rsid w:val="00827049"/>
    <w:rsid w:val="00827595"/>
    <w:rsid w:val="00844878"/>
    <w:rsid w:val="008C7B6B"/>
    <w:rsid w:val="00915BBB"/>
    <w:rsid w:val="00921C91"/>
    <w:rsid w:val="009531A7"/>
    <w:rsid w:val="00957E08"/>
    <w:rsid w:val="00971BA8"/>
    <w:rsid w:val="00986B78"/>
    <w:rsid w:val="009A488F"/>
    <w:rsid w:val="009A5839"/>
    <w:rsid w:val="009B3680"/>
    <w:rsid w:val="009C39EE"/>
    <w:rsid w:val="009C7A5C"/>
    <w:rsid w:val="009E5217"/>
    <w:rsid w:val="009E5A4E"/>
    <w:rsid w:val="00A06992"/>
    <w:rsid w:val="00A35CED"/>
    <w:rsid w:val="00A4208B"/>
    <w:rsid w:val="00A42A6F"/>
    <w:rsid w:val="00A447A7"/>
    <w:rsid w:val="00A86CA7"/>
    <w:rsid w:val="00A91060"/>
    <w:rsid w:val="00AA2535"/>
    <w:rsid w:val="00AB00E1"/>
    <w:rsid w:val="00AC37BF"/>
    <w:rsid w:val="00AC5DDB"/>
    <w:rsid w:val="00AD14DB"/>
    <w:rsid w:val="00AD7CA8"/>
    <w:rsid w:val="00B06722"/>
    <w:rsid w:val="00B1258A"/>
    <w:rsid w:val="00B17CDC"/>
    <w:rsid w:val="00B4274F"/>
    <w:rsid w:val="00B529DD"/>
    <w:rsid w:val="00B52BD6"/>
    <w:rsid w:val="00B636C0"/>
    <w:rsid w:val="00B760A1"/>
    <w:rsid w:val="00B862D1"/>
    <w:rsid w:val="00B86EB6"/>
    <w:rsid w:val="00BA3862"/>
    <w:rsid w:val="00BB7EB1"/>
    <w:rsid w:val="00BD33ED"/>
    <w:rsid w:val="00BE66E3"/>
    <w:rsid w:val="00BF60AA"/>
    <w:rsid w:val="00C03926"/>
    <w:rsid w:val="00C24A29"/>
    <w:rsid w:val="00C353EB"/>
    <w:rsid w:val="00C7185F"/>
    <w:rsid w:val="00CE5A75"/>
    <w:rsid w:val="00CF07EE"/>
    <w:rsid w:val="00D05D61"/>
    <w:rsid w:val="00D204DC"/>
    <w:rsid w:val="00D54118"/>
    <w:rsid w:val="00D62179"/>
    <w:rsid w:val="00D876BE"/>
    <w:rsid w:val="00DD7D0D"/>
    <w:rsid w:val="00DE16E1"/>
    <w:rsid w:val="00DE666D"/>
    <w:rsid w:val="00E02E06"/>
    <w:rsid w:val="00E21C33"/>
    <w:rsid w:val="00E221D9"/>
    <w:rsid w:val="00E22E7B"/>
    <w:rsid w:val="00E41B37"/>
    <w:rsid w:val="00E42DD1"/>
    <w:rsid w:val="00E631DB"/>
    <w:rsid w:val="00E64A87"/>
    <w:rsid w:val="00EC4B4F"/>
    <w:rsid w:val="00EC7308"/>
    <w:rsid w:val="00EF50AB"/>
    <w:rsid w:val="00F11F3A"/>
    <w:rsid w:val="00F21F34"/>
    <w:rsid w:val="00F23992"/>
    <w:rsid w:val="00F32168"/>
    <w:rsid w:val="00F32CE0"/>
    <w:rsid w:val="00F57BE3"/>
    <w:rsid w:val="00F661D9"/>
    <w:rsid w:val="00F66B75"/>
    <w:rsid w:val="00F87037"/>
    <w:rsid w:val="00FA0567"/>
    <w:rsid w:val="00FA211F"/>
    <w:rsid w:val="00FE1797"/>
    <w:rsid w:val="00FE29A4"/>
    <w:rsid w:val="00FE3067"/>
    <w:rsid w:val="00FF01B4"/>
    <w:rsid w:val="00FF56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E61D89"/>
  <w15:docId w15:val="{63EAFFF9-2512-4B1F-A51D-00147DB9A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1"/>
    <w:qFormat/>
    <w:rsid w:val="004C7D00"/>
    <w:pPr>
      <w:widowControl w:val="0"/>
      <w:spacing w:after="0" w:line="240" w:lineRule="auto"/>
    </w:pPr>
    <w:rPr>
      <w:rFonts w:ascii="Calibri" w:eastAsia="Calibri" w:hAnsi="Calibri" w:cs="Times New Roman"/>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22E7B"/>
    <w:pPr>
      <w:tabs>
        <w:tab w:val="center" w:pos="4536"/>
        <w:tab w:val="right" w:pos="9072"/>
      </w:tabs>
    </w:pPr>
  </w:style>
  <w:style w:type="character" w:customStyle="1" w:styleId="NagwekZnak">
    <w:name w:val="Nagłówek Znak"/>
    <w:basedOn w:val="Domylnaczcionkaakapitu"/>
    <w:link w:val="Nagwek"/>
    <w:uiPriority w:val="99"/>
    <w:rsid w:val="00E22E7B"/>
  </w:style>
  <w:style w:type="paragraph" w:styleId="Stopka">
    <w:name w:val="footer"/>
    <w:basedOn w:val="Normalny"/>
    <w:link w:val="StopkaZnak"/>
    <w:uiPriority w:val="99"/>
    <w:unhideWhenUsed/>
    <w:rsid w:val="00E22E7B"/>
    <w:pPr>
      <w:tabs>
        <w:tab w:val="center" w:pos="4536"/>
        <w:tab w:val="right" w:pos="9072"/>
      </w:tabs>
    </w:pPr>
  </w:style>
  <w:style w:type="character" w:customStyle="1" w:styleId="StopkaZnak">
    <w:name w:val="Stopka Znak"/>
    <w:basedOn w:val="Domylnaczcionkaakapitu"/>
    <w:link w:val="Stopka"/>
    <w:uiPriority w:val="99"/>
    <w:rsid w:val="00E22E7B"/>
  </w:style>
  <w:style w:type="paragraph" w:styleId="Tekstdymka">
    <w:name w:val="Balloon Text"/>
    <w:basedOn w:val="Normalny"/>
    <w:link w:val="TekstdymkaZnak"/>
    <w:uiPriority w:val="99"/>
    <w:semiHidden/>
    <w:unhideWhenUsed/>
    <w:rsid w:val="00AA2535"/>
    <w:rPr>
      <w:rFonts w:ascii="Segoe UI" w:hAnsi="Segoe UI" w:cs="Segoe UI"/>
      <w:sz w:val="18"/>
      <w:szCs w:val="18"/>
    </w:rPr>
  </w:style>
  <w:style w:type="character" w:customStyle="1" w:styleId="TekstdymkaZnak">
    <w:name w:val="Tekst dymka Znak"/>
    <w:basedOn w:val="Domylnaczcionkaakapitu"/>
    <w:link w:val="Tekstdymka"/>
    <w:uiPriority w:val="99"/>
    <w:semiHidden/>
    <w:rsid w:val="00AA2535"/>
    <w:rPr>
      <w:rFonts w:ascii="Segoe UI" w:hAnsi="Segoe UI" w:cs="Segoe UI"/>
      <w:sz w:val="18"/>
      <w:szCs w:val="18"/>
    </w:rPr>
  </w:style>
  <w:style w:type="paragraph" w:styleId="Akapitzlist">
    <w:name w:val="List Paragraph"/>
    <w:basedOn w:val="Normalny"/>
    <w:uiPriority w:val="34"/>
    <w:qFormat/>
    <w:rsid w:val="009A488F"/>
  </w:style>
  <w:style w:type="character" w:styleId="Hipercze">
    <w:name w:val="Hyperlink"/>
    <w:basedOn w:val="Domylnaczcionkaakapitu"/>
    <w:uiPriority w:val="99"/>
    <w:unhideWhenUsed/>
    <w:rsid w:val="000F4D22"/>
    <w:rPr>
      <w:color w:val="0563C1" w:themeColor="hyperlink"/>
      <w:u w:val="single"/>
    </w:rPr>
  </w:style>
  <w:style w:type="character" w:styleId="Odwoaniedokomentarza">
    <w:name w:val="annotation reference"/>
    <w:basedOn w:val="Domylnaczcionkaakapitu"/>
    <w:uiPriority w:val="99"/>
    <w:semiHidden/>
    <w:unhideWhenUsed/>
    <w:rsid w:val="00512996"/>
    <w:rPr>
      <w:sz w:val="16"/>
      <w:szCs w:val="16"/>
    </w:rPr>
  </w:style>
  <w:style w:type="paragraph" w:styleId="Tekstkomentarza">
    <w:name w:val="annotation text"/>
    <w:basedOn w:val="Normalny"/>
    <w:link w:val="TekstkomentarzaZnak"/>
    <w:uiPriority w:val="99"/>
    <w:semiHidden/>
    <w:unhideWhenUsed/>
    <w:rsid w:val="00512996"/>
    <w:rPr>
      <w:sz w:val="20"/>
      <w:szCs w:val="20"/>
    </w:rPr>
  </w:style>
  <w:style w:type="character" w:customStyle="1" w:styleId="TekstkomentarzaZnak">
    <w:name w:val="Tekst komentarza Znak"/>
    <w:basedOn w:val="Domylnaczcionkaakapitu"/>
    <w:link w:val="Tekstkomentarza"/>
    <w:uiPriority w:val="99"/>
    <w:semiHidden/>
    <w:rsid w:val="00512996"/>
    <w:rPr>
      <w:rFonts w:ascii="Calibri" w:eastAsia="Calibri" w:hAnsi="Calibri" w:cs="Times New Roman"/>
      <w:sz w:val="20"/>
      <w:szCs w:val="20"/>
      <w:lang w:val="en-US"/>
    </w:rPr>
  </w:style>
  <w:style w:type="paragraph" w:styleId="Tematkomentarza">
    <w:name w:val="annotation subject"/>
    <w:basedOn w:val="Tekstkomentarza"/>
    <w:next w:val="Tekstkomentarza"/>
    <w:link w:val="TematkomentarzaZnak"/>
    <w:uiPriority w:val="99"/>
    <w:semiHidden/>
    <w:unhideWhenUsed/>
    <w:rsid w:val="00512996"/>
    <w:rPr>
      <w:b/>
      <w:bCs/>
    </w:rPr>
  </w:style>
  <w:style w:type="character" w:customStyle="1" w:styleId="TematkomentarzaZnak">
    <w:name w:val="Temat komentarza Znak"/>
    <w:basedOn w:val="TekstkomentarzaZnak"/>
    <w:link w:val="Tematkomentarza"/>
    <w:uiPriority w:val="99"/>
    <w:semiHidden/>
    <w:rsid w:val="00512996"/>
    <w:rPr>
      <w:rFonts w:ascii="Calibri" w:eastAsia="Calibri" w:hAnsi="Calibri" w:cs="Times New Roman"/>
      <w:b/>
      <w:bCs/>
      <w:sz w:val="20"/>
      <w:szCs w:val="20"/>
      <w:lang w:val="en-US"/>
    </w:rPr>
  </w:style>
  <w:style w:type="table" w:styleId="Tabela-Siatka">
    <w:name w:val="Table Grid"/>
    <w:basedOn w:val="Standardowy"/>
    <w:uiPriority w:val="39"/>
    <w:rsid w:val="00FA05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189195">
      <w:bodyDiv w:val="1"/>
      <w:marLeft w:val="0"/>
      <w:marRight w:val="0"/>
      <w:marTop w:val="0"/>
      <w:marBottom w:val="0"/>
      <w:divBdr>
        <w:top w:val="none" w:sz="0" w:space="0" w:color="auto"/>
        <w:left w:val="none" w:sz="0" w:space="0" w:color="auto"/>
        <w:bottom w:val="none" w:sz="0" w:space="0" w:color="auto"/>
        <w:right w:val="none" w:sz="0" w:space="0" w:color="auto"/>
      </w:divBdr>
    </w:div>
    <w:div w:id="564142010">
      <w:bodyDiv w:val="1"/>
      <w:marLeft w:val="0"/>
      <w:marRight w:val="0"/>
      <w:marTop w:val="0"/>
      <w:marBottom w:val="0"/>
      <w:divBdr>
        <w:top w:val="none" w:sz="0" w:space="0" w:color="auto"/>
        <w:left w:val="none" w:sz="0" w:space="0" w:color="auto"/>
        <w:bottom w:val="none" w:sz="0" w:space="0" w:color="auto"/>
        <w:right w:val="none" w:sz="0" w:space="0" w:color="auto"/>
      </w:divBdr>
    </w:div>
    <w:div w:id="710036180">
      <w:bodyDiv w:val="1"/>
      <w:marLeft w:val="0"/>
      <w:marRight w:val="0"/>
      <w:marTop w:val="0"/>
      <w:marBottom w:val="0"/>
      <w:divBdr>
        <w:top w:val="none" w:sz="0" w:space="0" w:color="auto"/>
        <w:left w:val="none" w:sz="0" w:space="0" w:color="auto"/>
        <w:bottom w:val="none" w:sz="0" w:space="0" w:color="auto"/>
        <w:right w:val="none" w:sz="0" w:space="0" w:color="auto"/>
      </w:divBdr>
    </w:div>
    <w:div w:id="1182086488">
      <w:bodyDiv w:val="1"/>
      <w:marLeft w:val="0"/>
      <w:marRight w:val="0"/>
      <w:marTop w:val="0"/>
      <w:marBottom w:val="0"/>
      <w:divBdr>
        <w:top w:val="none" w:sz="0" w:space="0" w:color="auto"/>
        <w:left w:val="none" w:sz="0" w:space="0" w:color="auto"/>
        <w:bottom w:val="none" w:sz="0" w:space="0" w:color="auto"/>
        <w:right w:val="none" w:sz="0" w:space="0" w:color="auto"/>
      </w:divBdr>
    </w:div>
    <w:div w:id="1772047175">
      <w:bodyDiv w:val="1"/>
      <w:marLeft w:val="0"/>
      <w:marRight w:val="0"/>
      <w:marTop w:val="0"/>
      <w:marBottom w:val="0"/>
      <w:divBdr>
        <w:top w:val="none" w:sz="0" w:space="0" w:color="auto"/>
        <w:left w:val="none" w:sz="0" w:space="0" w:color="auto"/>
        <w:bottom w:val="none" w:sz="0" w:space="0" w:color="auto"/>
        <w:right w:val="none" w:sz="0" w:space="0" w:color="auto"/>
      </w:divBdr>
    </w:div>
    <w:div w:id="2047831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D647D93475792A4185DAA34C9E03A457" ma:contentTypeVersion="5" ma:contentTypeDescription="Utwórz nowy dokument." ma:contentTypeScope="" ma:versionID="b39c85566f77ca6847b681847b3be1f8">
  <xsd:schema xmlns:xsd="http://www.w3.org/2001/XMLSchema" xmlns:xs="http://www.w3.org/2001/XMLSchema" xmlns:p="http://schemas.microsoft.com/office/2006/metadata/properties" xmlns:ns2="9a42bfb1-fe9d-4440-922c-7b83ab1f4a33" targetNamespace="http://schemas.microsoft.com/office/2006/metadata/properties" ma:root="true" ma:fieldsID="d0986aa2a7ced8814947b1003fcf6a53" ns2:_="">
    <xsd:import namespace="9a42bfb1-fe9d-4440-922c-7b83ab1f4a3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42bfb1-fe9d-4440-922c-7b83ab1f4a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E9F7CE-CAB8-45CA-A4EA-5DDB7E6856C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48DA041-F408-4017-A011-C0E2B8385C70}">
  <ds:schemaRefs>
    <ds:schemaRef ds:uri="http://schemas.microsoft.com/sharepoint/v3/contenttype/forms"/>
  </ds:schemaRefs>
</ds:datastoreItem>
</file>

<file path=customXml/itemProps3.xml><?xml version="1.0" encoding="utf-8"?>
<ds:datastoreItem xmlns:ds="http://schemas.openxmlformats.org/officeDocument/2006/customXml" ds:itemID="{3E7ECBB3-FF54-4C8B-B29E-05505472F7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42bfb1-fe9d-4440-922c-7b83ab1f4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736</Words>
  <Characters>4417</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Agnieszka Diaków</dc:creator>
  <cp:lastModifiedBy>Katarzyna Kowalczyk</cp:lastModifiedBy>
  <cp:revision>3</cp:revision>
  <cp:lastPrinted>2019-09-19T12:38:00Z</cp:lastPrinted>
  <dcterms:created xsi:type="dcterms:W3CDTF">2020-01-23T11:29:00Z</dcterms:created>
  <dcterms:modified xsi:type="dcterms:W3CDTF">2020-01-23T11:29:00Z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0x010100D647D93475792A4185DAA34C9E03A457</vt:lpwstr>
  </property>
</Properties>
</file>