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F4" w:rsidRDefault="00EB1528" w:rsidP="00EB1528">
      <w:pPr>
        <w:spacing w:line="288" w:lineRule="auto"/>
        <w:jc w:val="center"/>
        <w:rPr>
          <w:rFonts w:ascii="Century Gothic" w:hAnsi="Century Gothic"/>
          <w:b/>
          <w:sz w:val="20"/>
          <w:szCs w:val="20"/>
        </w:rPr>
      </w:pPr>
      <w:r w:rsidRPr="0014560D">
        <w:rPr>
          <w:rFonts w:ascii="Century Gothic" w:hAnsi="Century Gothic"/>
          <w:b/>
          <w:sz w:val="20"/>
          <w:szCs w:val="20"/>
        </w:rPr>
        <w:t xml:space="preserve">opis przedmiotu zamówienia </w:t>
      </w:r>
    </w:p>
    <w:p w:rsidR="00EB1528" w:rsidRPr="0014560D" w:rsidRDefault="00EB1528" w:rsidP="00EB1528">
      <w:pPr>
        <w:spacing w:line="288" w:lineRule="auto"/>
        <w:jc w:val="center"/>
        <w:rPr>
          <w:rFonts w:ascii="Century Gothic" w:hAnsi="Century Gothic"/>
          <w:b/>
          <w:sz w:val="20"/>
          <w:szCs w:val="20"/>
        </w:rPr>
      </w:pPr>
      <w:r w:rsidRPr="0014560D">
        <w:rPr>
          <w:rFonts w:ascii="Century Gothic" w:hAnsi="Century Gothic"/>
          <w:b/>
          <w:sz w:val="20"/>
          <w:szCs w:val="20"/>
        </w:rPr>
        <w:t>–</w:t>
      </w:r>
      <w:r w:rsidR="00F804F4">
        <w:rPr>
          <w:rFonts w:ascii="Century Gothic" w:hAnsi="Century Gothic"/>
          <w:b/>
          <w:sz w:val="20"/>
          <w:szCs w:val="20"/>
        </w:rPr>
        <w:t xml:space="preserve"> część</w:t>
      </w:r>
      <w:r w:rsidRPr="0014560D">
        <w:rPr>
          <w:rFonts w:ascii="Century Gothic" w:hAnsi="Century Gothic"/>
          <w:b/>
          <w:sz w:val="20"/>
          <w:szCs w:val="20"/>
        </w:rPr>
        <w:t xml:space="preserve"> 2 (</w:t>
      </w:r>
      <w:r w:rsidRPr="0014560D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Echokardiograf z opcją echokardiografii wewnątrzsercowej cewnikami (ICE)</w:t>
      </w:r>
      <w:r w:rsidRPr="0014560D">
        <w:rPr>
          <w:rFonts w:ascii="Century Gothic" w:hAnsi="Century Gothic"/>
          <w:b/>
          <w:sz w:val="20"/>
          <w:szCs w:val="20"/>
        </w:rPr>
        <w:t>)</w:t>
      </w:r>
      <w:r w:rsidR="002F560D" w:rsidRPr="0014560D">
        <w:rPr>
          <w:rFonts w:ascii="Century Gothic" w:hAnsi="Century Gothic"/>
          <w:b/>
          <w:sz w:val="20"/>
          <w:szCs w:val="20"/>
        </w:rPr>
        <w:t xml:space="preserve"> i przezprzełykowymi</w:t>
      </w:r>
      <w:r w:rsidR="00E26FFE" w:rsidRPr="0014560D">
        <w:rPr>
          <w:rFonts w:ascii="Century Gothic" w:hAnsi="Century Gothic"/>
          <w:b/>
          <w:sz w:val="20"/>
          <w:szCs w:val="20"/>
        </w:rPr>
        <w:t xml:space="preserve"> – 1 szt.</w:t>
      </w:r>
    </w:p>
    <w:p w:rsidR="00EB1528" w:rsidRPr="001A32C6" w:rsidRDefault="00EB1528" w:rsidP="00EB1528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:rsidR="00EB1528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gwarantuje niniejszym, że sprzęt jest fab</w:t>
      </w:r>
      <w:r>
        <w:rPr>
          <w:rFonts w:ascii="Century Gothic" w:hAnsi="Century Gothic"/>
          <w:sz w:val="20"/>
        </w:rPr>
        <w:t>rycznie nowy (rok produkcji 2019</w:t>
      </w:r>
      <w:r w:rsidRPr="001A32C6">
        <w:rPr>
          <w:rFonts w:ascii="Century Gothic" w:hAnsi="Century Gothic"/>
          <w:sz w:val="20"/>
        </w:rPr>
        <w:t xml:space="preserve">) nie jest </w:t>
      </w:r>
      <w:proofErr w:type="spellStart"/>
      <w:r w:rsidRPr="001A32C6">
        <w:rPr>
          <w:rFonts w:ascii="Century Gothic" w:hAnsi="Century Gothic"/>
          <w:sz w:val="20"/>
        </w:rPr>
        <w:t>rekondycjonowany</w:t>
      </w:r>
      <w:proofErr w:type="spellEnd"/>
      <w:r w:rsidRPr="001A32C6">
        <w:rPr>
          <w:rFonts w:ascii="Century Gothic" w:hAnsi="Century Gothic"/>
          <w:sz w:val="20"/>
        </w:rPr>
        <w:t>, używany, powystawowy,  jest kompletny i do jego uruchomienia oraz stosowania zgodnie z przeznaczeniem nie jest konieczny zakup dodatkowych elementów i akcesoriów.</w:t>
      </w: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99575C" w:rsidRDefault="0099575C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</w:tblGrid>
      <w:tr w:rsidR="00F804F4" w:rsidTr="00EB12D1">
        <w:trPr>
          <w:trHeight w:val="70"/>
        </w:trPr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Nazwa i typ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Producen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Kraj produkcji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Rok produkcji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Klasa wyrobu medycznego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F804F4" w:rsidRPr="00A267CB" w:rsidRDefault="00F804F4" w:rsidP="00F804F4">
      <w:pPr>
        <w:spacing w:line="288" w:lineRule="auto"/>
        <w:rPr>
          <w:rFonts w:cs="Calibri"/>
          <w:b/>
          <w:bCs/>
          <w:iCs/>
          <w:sz w:val="20"/>
          <w:szCs w:val="20"/>
          <w:shd w:val="clear" w:color="auto" w:fill="CCCCCC"/>
          <w:lang w:eastAsia="zh-CN"/>
        </w:rPr>
      </w:pPr>
    </w:p>
    <w:tbl>
      <w:tblPr>
        <w:tblpPr w:leftFromText="141" w:rightFromText="141" w:vertAnchor="text" w:tblpXSpec="center"/>
        <w:tblW w:w="136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2551"/>
        <w:gridCol w:w="1985"/>
        <w:gridCol w:w="2835"/>
        <w:gridCol w:w="2552"/>
      </w:tblGrid>
      <w:tr w:rsidR="00F804F4" w:rsidRPr="00C43122" w:rsidTr="00F804F4">
        <w:trPr>
          <w:trHeight w:val="132"/>
        </w:trPr>
        <w:tc>
          <w:tcPr>
            <w:tcW w:w="1105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  <w:r w:rsidRPr="003A7823">
              <w:rPr>
                <w:b/>
                <w:bCs/>
              </w:rPr>
              <w:t>Cena brutto (w zł)</w:t>
            </w:r>
          </w:p>
        </w:tc>
      </w:tr>
      <w:tr w:rsidR="00F804F4" w:rsidRPr="00C43122" w:rsidTr="00F804F4">
        <w:trPr>
          <w:trHeight w:val="3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A:</w:t>
            </w:r>
            <w:r w:rsidRPr="003A7823">
              <w:rPr>
                <w:bCs/>
              </w:rPr>
              <w:t xml:space="preserve"> Cena brutto sprzętu wraz z dostawą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Ilość sztuk sprzętu: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Cs/>
              </w:rPr>
            </w:pPr>
            <w:r w:rsidRPr="00A267CB">
              <w:rPr>
                <w:bCs/>
              </w:rPr>
              <w:t>Cena jednostkowa brutto</w:t>
            </w:r>
            <w:r>
              <w:rPr>
                <w:bCs/>
              </w:rPr>
              <w:t xml:space="preserve"> (zł):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/>
                <w:bCs/>
              </w:rPr>
            </w:pPr>
            <w:r w:rsidRPr="00F804F4">
              <w:rPr>
                <w:rFonts w:ascii="Century Gothic" w:hAnsi="Century Gothic"/>
                <w:sz w:val="16"/>
                <w:szCs w:val="16"/>
              </w:rPr>
              <w:t>Echokardiograf z opcją echokardiografii wewnątrzsercowej cewnikami (ICE) i przezprzełykowymi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552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instalacji i uruchomienia sprzętu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546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C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szkoleń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539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A+B+C:</w:t>
            </w:r>
            <w:r w:rsidRPr="003A7823">
              <w:rPr>
                <w:bCs/>
              </w:rPr>
              <w:t xml:space="preserve"> Cena brutto oferty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:rsidR="00F804F4" w:rsidRDefault="00F804F4" w:rsidP="00F804F4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Pr="00EB1528" w:rsidRDefault="00EB1528" w:rsidP="00EB1528">
      <w:pPr>
        <w:spacing w:after="0" w:line="240" w:lineRule="auto"/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</w:pPr>
      <w:r w:rsidRPr="00EB1528">
        <w:rPr>
          <w:rFonts w:ascii="Century Gothic" w:eastAsia="Times New Roman" w:hAnsi="Century Gothic" w:cs="Arial"/>
          <w:b/>
          <w:bCs/>
          <w:sz w:val="20"/>
          <w:szCs w:val="20"/>
        </w:rPr>
        <w:lastRenderedPageBreak/>
        <w:t>PARAMETRY TECHNICZNE I EKSPLOATACYJNE</w:t>
      </w:r>
      <w:r w:rsidRPr="00EB1528">
        <w:rPr>
          <w:rFonts w:ascii="Century Gothic" w:eastAsia="Times New Roman" w:hAnsi="Century Gothic"/>
          <w:b/>
          <w:sz w:val="20"/>
          <w:szCs w:val="20"/>
          <w:lang w:eastAsia="zh-CN"/>
        </w:rPr>
        <w:t xml:space="preserve"> - </w:t>
      </w:r>
      <w:r w:rsidRPr="00EB1528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Echokardiograf z opcją echokardiografii wewnątrzsercowej cewnikami (ICE)</w:t>
      </w:r>
      <w:r w:rsidR="002F560D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 i przezprzełykowymi</w:t>
      </w: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EB1528" w:rsidRPr="00EA5D31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snapToGrid w:val="0"/>
              <w:spacing w:before="40" w:after="40"/>
              <w:ind w:left="0" w:firstLine="0"/>
              <w:jc w:val="both"/>
              <w:outlineLvl w:val="1"/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  <w:t>Wymagania ogólne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snapToGrid w:val="0"/>
              <w:spacing w:before="40" w:after="40"/>
              <w:ind w:left="0" w:firstLine="0"/>
              <w:jc w:val="both"/>
              <w:outlineLvl w:val="1"/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snapToGrid w:val="0"/>
              <w:spacing w:before="40" w:after="40"/>
              <w:ind w:left="0" w:firstLine="0"/>
              <w:jc w:val="both"/>
              <w:outlineLvl w:val="1"/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Zasilanie zgodne z Polską Normą (230V; 50Hz)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Wbudowany akumulator pozwalający na ciągła pracę aparatu bez stałego źródła zasilania przez min. 40 minut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Waga aparatu z akumulatorem oraz stacją DVD maks. 9,0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Wbudowany czujnik oświetlenia do automatycznego dopasowania jasności monitora w zależności od warunków otoczenia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Rączka/uchwyt do przenoszenia aparatu bez torby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Zasilanie sieciowe 220-240 [V]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Wózek do oferowanego aparatu z min. 3 aktywnymi portami do podłączenia głowic obrazowych (</w:t>
            </w:r>
            <w:proofErr w:type="spellStart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replikator</w:t>
            </w:r>
            <w:proofErr w:type="spellEnd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 portów), z regulacją góra/dół, wieszakami na głowice oraz wyposażony w cztery skrętne kółka i </w:t>
            </w:r>
            <w:proofErr w:type="spellStart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videoprinter</w:t>
            </w:r>
            <w:proofErr w:type="spellEnd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 czarno-biały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Dynamika aparatu min. 170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Głębokość obrazowania w zakresie od 2 do 30 cm lub szerszy zakres minimalna wartość zakresu nie większa niż 2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Maksymalna częstotliwość odświeżania (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Frame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Rate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) dla obrazu 2D min. 750 obrazów/s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Liczba kanałów przetwarzania, min. 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Zakres stosowanych częstotliwości pracy od 1,3 do 13  MHz lub szerszy zakres częstotliwości przy czym minimalna wartość zakresu nie większa niż 2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Monitor kolorowy LCD o przekątnej ekranu min. 15 cali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Rozdzielczość monitora, min. 1400 x 1050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pixel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Min. 6 suwaków/regulatorów wzmocnienia głębokościowego wiązki TGC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Możliwość regulacji wzmocnienia TGC i 2D </w:t>
            </w:r>
            <w:proofErr w:type="spellStart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gain</w:t>
            </w:r>
            <w:proofErr w:type="spellEnd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 po zamrożeniu obrazu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Regulacja wzmocnienia poprzecznego wiązki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ultradźwiekowej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Liczba aktywnych gniazd do podłączania głowic obrazowych w aparacie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Tryby pracy aparatu: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pl-PL"/>
              </w:rPr>
              <w:t>Tryb B (2D)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Powiększenie obrazu zamrożonego oraz obrazu w czasie rzeczywistym ,  podać wartość powiększenia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8x i więcej – 1 pkt.</w:t>
            </w:r>
          </w:p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Automatyczna optymalizacja parametrów obrazu 2D (min. wzmocnienie i TGC) do aktualnie badanego  obszaru przy pomocy jednego klawisza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standardowo praca w trybie wielokierunkowego nadawania i odbierania wiązki ultradźwiękowej z min. 5 kątami ugięcia wiązki na współpracujących z aparatem głowicach liniowych. Praca w w/w trybie z użyciem obrazowania harmonicznego.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lastRenderedPageBreak/>
              <w:t xml:space="preserve">Oprogramowanie do redukcji szumów akustycznych obrazowania 2D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Możliwość obracania obrazu lewo-prawo, góra-dół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Tryb M -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Kolorowy Doppler w M-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anatomiczny na obrazie na żywo i z pamięci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Doppler Kolorowy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Jednoczesne wyświetlanie na ekranie dwóch obrazów w czasie rzeczywistym typu 2D + 2D i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doppler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kolorowy (mocy)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Możliwość porównania na ekranie dwóch obrazów: jednego rzeczywistego drugiego odtworzonego z dysku trwałego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spektralny Doppler pulsacyjny (PW)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PW - minimalna prędkość 600 cm/s (przy zerowym kącie bramki),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1000 i więcej – 1 pkt.</w:t>
            </w:r>
          </w:p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regulacja bramki PW min. 1 – 13 mm -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Automatyczna optymalizacja obrazu PW przy pomocy jednego klawisza (min.: dopasowanie linii bazowej, PRF)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Wzmocnienie sygnału – 1 pkt.</w:t>
            </w:r>
          </w:p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w/w funkcji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Uchylność bramki dopplerowskiej min. +/- 20 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Szerokość bramki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dopplera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dopplerowskiej min. od 1,0 mm do 20,0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Kolor Doppler; prędkość &gt;= 400 cm/s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spektralny Doppler z falą ciągłą (CW)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lastRenderedPageBreak/>
              <w:t>(Rejestrowane prędkości maksymalne przy zerowym kącie bramki min. 12,9 m/s)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Sterowany pod kontrolą obrazu 2D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Dodatkowo </w:t>
            </w:r>
            <w:r>
              <w:rPr>
                <w:rFonts w:ascii="Century Gothic" w:hAnsi="Century Gothic"/>
                <w:sz w:val="16"/>
                <w:szCs w:val="16"/>
              </w:rPr>
              <w:t>TRIPLEX B/CD/CWD – 5 pkt.</w:t>
            </w:r>
          </w:p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w/w funkcji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3D w czasie rzeczywistym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brazowanie 3D serca w czasie rzeczywistym z głowicy przezprzełykowej, wykonanej w technologii matrycowej o min. 2000 elementach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brazowanie 3D serca w sektorze min. 90° x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Tryb j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ednoczesnej wizualizacji w czasie rzeczywistym minimum dwóch niezależnych płaszczyzn na głowicy przezprzełykowej, w trybie B oraz Doppler kolorowy.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K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olorowe odwzorowanie przepływów w postaci przestrzennej, ruchomej, trójwymiarowej bryły (3D kolor)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Markery do oznaczania położenia i kontroli głębokości na obrazie 3D.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Funkcja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wykonywania pomiarów na obrazie 3D, min. odległość punkt-punkt, długość obrysu, pole powierzchni.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jc w:val="both"/>
              <w:rPr>
                <w:rFonts w:ascii="Century Gothic" w:eastAsia="Times New Roman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16"/>
                <w:szCs w:val="16"/>
              </w:rPr>
              <w:t>Głowice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/>
                <w:lang w:val="pl-PL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/>
                <w:lang w:val="pl-PL"/>
              </w:rPr>
              <w:t>Głowica sektorowa z obrazowaniem harmonicznym do badań serca przezklatkowych.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Zakres częstotliwości pracy od 1 do 4 MHz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lub szerszy zakres przy czy min. wartość zakresu nie większa niż 1,4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Ilość elementów min. 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Kąt pola skanowania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  <w:t>Głowica wewnątrzsercowa: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widowControl w:val="0"/>
              <w:suppressAutoHyphens/>
              <w:autoSpaceDE w:val="0"/>
              <w:autoSpaceDN w:val="0"/>
              <w:spacing w:before="40" w:after="40"/>
              <w:jc w:val="both"/>
              <w:textAlignment w:val="baseline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 średnicy min. 9 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Ilość elementów min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Długość robocza cewnika min 90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Min 4 kierunki ugięcia cewnika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Min 85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st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ugięcia cewnika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Tryby pracy min 2D,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Color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Doppler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 w:rsidRPr="0045290A"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  <w:t>Głowica do badań przezprzełykowych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Zakres częstotliwości pracy min. od 2 do 7 MHz (± 1 MHz), Ilość elementów min. 2000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Tryby obrazowania B-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, M-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, CD, CW Doppler, PW Doppler, 3D, 3D kolor Doppler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Obrazowanie dwóch niezależnych płaszczyzn w czasie rzeczywistym w trybie B-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i CD.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 w:rsidRPr="0045290A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pl-PL"/>
              </w:rPr>
              <w:t>Głowica liniowa do badań naczyniowych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Częstotliwość pracy min. od 3 do 11 MHz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(± 1 MHz),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fr-FR"/>
              </w:rPr>
              <w:t>Ilo</w:t>
            </w:r>
            <w:proofErr w:type="spellStart"/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ść</w:t>
            </w:r>
            <w:proofErr w:type="spellEnd"/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fr-FR"/>
              </w:rPr>
              <w:t>element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ów min. 150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Długość płaszczyzny skanowania max 40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45290A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pl-PL"/>
              </w:rPr>
            </w:pPr>
            <w:r w:rsidRPr="0045290A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pl-PL"/>
              </w:rPr>
              <w:t>Głowica (cewnik) wewnątrzsercowy do badań echokardiograficznych.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 w:rsidRPr="0045290A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pl-PL"/>
              </w:rPr>
              <w:t>Możliwość rozbudowy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 o głowicę liniową śródoperacyjną w kształcie litery “L” lub “T”,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lastRenderedPageBreak/>
              <w:t xml:space="preserve">Częstotliwość pracy min. od 7 do 14 MHz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(± 1 MHz),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Ilość elementów min. 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Pakiety obliczeniowe/raporty: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Pełny pakiet obliczeniowy kardiologiczny dla dorosłych.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Możliwość rozbudowy o pakiet badań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stress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echo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Automatyczne obrysowanie i wyznaczanie parametrów (min. RI, PI, S, D) widma dopplerowskiego w czasie rzeczywistym na ruchomym spektrum oraz po zamrożeniu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Prezentacja na ekranie przebiegu EKG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Raporty dla każdego rodzaju i trybu badania mogące zawierać własne komentarze Użytkownika oraz obrazy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Archiwizacja raportów na dysku CD/DVD-R/RW i dysku twardym aparatu w formatach min. BMP lub JPEG , AVI, DICOM -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System archiwizacji: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Pamięć dynamiczna obrazu (CINE LOOP) dla trybu B z możliwością przeglądu w sposób płynny z regulacja prędkości odtwarzania min. 1000 obrazów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Wewnętrzny dysk twardy aparatu przeznaczony do archiwizacji badań min. 160 GB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Możliwość archiwizacji sekwencji ruchomych i statycznych na dysku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Napęd dysków DVD do zapisu obrazów, pętli obrazowych i raportów z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Aktywne gniazdo USB do archiwizacji obrazów statycznych oraz ruchomych na przenośnej pamięci USB (Flash, Pendrive)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Oprogramowanie do przesyłania obrazów i danych zgodnych z standardem DICOM 3 (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Dicom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send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Dicom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Print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Modality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Worklist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Dicom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SR)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Format MPEG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Oprogramowanie wraz z pakietem pomiarowym do badań kardiologicznych oraz naczyniowych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</w:tbl>
    <w:p w:rsidR="00057BBE" w:rsidRDefault="00057BBE" w:rsidP="00057BBE">
      <w:pPr>
        <w:pStyle w:val="Akapitzlist"/>
        <w:tabs>
          <w:tab w:val="left" w:pos="9781"/>
        </w:tabs>
        <w:suppressAutoHyphens/>
        <w:spacing w:after="0" w:line="240" w:lineRule="auto"/>
        <w:ind w:left="1080"/>
        <w:rPr>
          <w:rFonts w:ascii="Century Gothic" w:eastAsia="Times New Roman" w:hAnsi="Century Gothic"/>
          <w:b/>
          <w:szCs w:val="24"/>
          <w:lang w:eastAsia="zh-CN"/>
        </w:rPr>
      </w:pPr>
    </w:p>
    <w:p w:rsidR="00057BBE" w:rsidRDefault="00057BBE" w:rsidP="00057BBE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  <w:r>
        <w:rPr>
          <w:rFonts w:ascii="Century Gothic" w:eastAsia="Times New Roman" w:hAnsi="Century Gothic"/>
          <w:b/>
          <w:szCs w:val="24"/>
          <w:lang w:eastAsia="zh-CN"/>
        </w:rPr>
        <w:t xml:space="preserve"> </w:t>
      </w:r>
      <w:r>
        <w:t xml:space="preserve"> </w:t>
      </w: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</w:rPr>
        <w:t xml:space="preserve">WARUNKI GWARANCJI I SERWISU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EB1528" w:rsidRPr="00EA5D31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7E8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bookmarkStart w:id="0" w:name="_GoBack"/>
            <w:bookmarkEnd w:id="0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Gwarancja [miesiące]</w:t>
            </w:r>
          </w:p>
          <w:p w:rsidR="008B67E8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8B67E8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UWAGA – należy podać pełną liczbę miesięcy. Wartości ułamkowe będą przy ocenie zaokrąglane w dół – do pełnych miesięcy.</w:t>
            </w:r>
          </w:p>
          <w:p w:rsidR="008B67E8" w:rsidRPr="008C3609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Zamawiający zastrzega, że górną granicą punktacji będzie 5 lat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&gt;=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8C3609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8C3609" w:rsidRDefault="00EB1528" w:rsidP="003C5E8D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najdłuższy okres – 10 pkt.,</w:t>
            </w:r>
          </w:p>
          <w:p w:rsidR="00EB1528" w:rsidRPr="008C3609" w:rsidRDefault="00EB1528" w:rsidP="003C5E8D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inne –proporcjonalnie mniej (względem najkorzystniejszej oferty)</w:t>
            </w: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Gwarancja min. 10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8C3609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roboczych, w przypadku naprawy dłuższej niż 5 dni roboczych – aparat zastępczy o min. identycznych parametrach lub lepszy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Możliwość zgłoszeń 24 </w:t>
            </w:r>
            <w:proofErr w:type="spellStart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godz</w:t>
            </w:r>
            <w:proofErr w:type="spellEnd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Lokalizacja serwisu umożliwiająca przybycie uprawnionego inżyniera w sytuacjach awaryjnych do 24 godzin (w dni robocze) – podać dane teleadresowe, sposób kontaktu (dotyczy serwisu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własnego lub podwykonawcy, pracownika czy firmy serwisowej posiadającej uprawnienia do tego typu czynności)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5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1 osoba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uwaga (1) - Należy przewidzieć szkolenia w wymiarze do 2 dni roboczych oraz zapewnić możliwość stałego wsparcia aplikacyjnego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Dokumentacja serwisowa i/lub oprogramowanie serwisowe na potrzeby Zamawiającego (dokumentacja zapewni co najmniej pełną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EB1528" w:rsidRDefault="00EB1528" w:rsidP="00EB1528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  <w:r>
        <w:rPr>
          <w:rFonts w:ascii="Century Gothic" w:eastAsia="Times New Roman" w:hAnsi="Century Gothic"/>
          <w:b/>
          <w:szCs w:val="24"/>
          <w:lang w:eastAsia="zh-CN"/>
        </w:rPr>
        <w:t xml:space="preserve"> </w:t>
      </w:r>
      <w:r>
        <w:t xml:space="preserve"> </w:t>
      </w:r>
    </w:p>
    <w:sectPr w:rsidR="00EB1528" w:rsidSect="00057BB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A5" w:rsidRDefault="008C2DA5" w:rsidP="00EB1528">
      <w:pPr>
        <w:spacing w:after="0" w:line="240" w:lineRule="auto"/>
      </w:pPr>
      <w:r>
        <w:separator/>
      </w:r>
    </w:p>
  </w:endnote>
  <w:endnote w:type="continuationSeparator" w:id="0">
    <w:p w:rsidR="008C2DA5" w:rsidRDefault="008C2DA5" w:rsidP="00E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780931"/>
      <w:docPartObj>
        <w:docPartGallery w:val="Page Numbers (Bottom of Page)"/>
        <w:docPartUnique/>
      </w:docPartObj>
    </w:sdtPr>
    <w:sdtEndPr/>
    <w:sdtContent>
      <w:p w:rsidR="00E26FFE" w:rsidRDefault="00E26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67E8">
          <w:rPr>
            <w:noProof/>
          </w:rPr>
          <w:t>13</w:t>
        </w:r>
        <w:r>
          <w:fldChar w:fldCharType="end"/>
        </w:r>
      </w:p>
    </w:sdtContent>
  </w:sdt>
  <w:p w:rsidR="00E26FFE" w:rsidRDefault="00E26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A5" w:rsidRDefault="008C2DA5" w:rsidP="00EB1528">
      <w:pPr>
        <w:spacing w:after="0" w:line="240" w:lineRule="auto"/>
      </w:pPr>
      <w:r>
        <w:separator/>
      </w:r>
    </w:p>
  </w:footnote>
  <w:footnote w:type="continuationSeparator" w:id="0">
    <w:p w:rsidR="008C2DA5" w:rsidRDefault="008C2DA5" w:rsidP="00E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F4" w:rsidRDefault="00F804F4" w:rsidP="00F804F4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  <w:r>
      <w:rPr>
        <w:rFonts w:ascii="Times New Roman" w:hAnsi="Times New Roman"/>
        <w:noProof/>
        <w:kern w:val="2"/>
        <w:sz w:val="24"/>
        <w:szCs w:val="24"/>
        <w:lang w:eastAsia="pl-PL"/>
      </w:rPr>
      <w:drawing>
        <wp:inline distT="0" distB="0" distL="0" distR="0" wp14:anchorId="771687A6" wp14:editId="365EE092">
          <wp:extent cx="7564755" cy="866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04F4" w:rsidRDefault="00F804F4" w:rsidP="00F804F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color w:val="000000"/>
        <w:lang w:eastAsia="pl-PL" w:bidi="hi-IN"/>
      </w:rPr>
      <w:t>NSSU.DFP.271.1</w:t>
    </w:r>
    <w:r w:rsidRPr="00B743B5">
      <w:rPr>
        <w:rFonts w:ascii="Garamond" w:hAnsi="Garamond"/>
        <w:color w:val="000000"/>
        <w:lang w:eastAsia="pl-PL" w:bidi="hi-IN"/>
      </w:rPr>
      <w:t>.201</w:t>
    </w:r>
    <w:r>
      <w:rPr>
        <w:rFonts w:ascii="Garamond" w:hAnsi="Garamond"/>
        <w:color w:val="000000"/>
        <w:lang w:eastAsia="pl-PL" w:bidi="hi-IN"/>
      </w:rPr>
      <w:t>9</w:t>
    </w:r>
    <w:r w:rsidRPr="00B743B5">
      <w:rPr>
        <w:rFonts w:ascii="Garamond" w:hAnsi="Garamond"/>
        <w:color w:val="000000"/>
        <w:lang w:eastAsia="pl-PL" w:bidi="hi-IN"/>
      </w:rPr>
      <w:t>.</w:t>
    </w:r>
    <w:r>
      <w:rPr>
        <w:rFonts w:ascii="Garamond" w:hAnsi="Garamond"/>
        <w:color w:val="000000"/>
        <w:lang w:eastAsia="pl-PL" w:bidi="hi-IN"/>
      </w:rPr>
      <w:t>AB</w:t>
    </w:r>
    <w:r>
      <w:rPr>
        <w:rFonts w:ascii="Garamond" w:hAnsi="Garamond"/>
        <w:lang w:eastAsia="pl-PL"/>
      </w:rPr>
      <w:tab/>
      <w:t>część 2</w:t>
    </w:r>
    <w:r w:rsidRPr="00187ACD"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1a do specyfikacji</w:t>
    </w:r>
  </w:p>
  <w:p w:rsidR="00F804F4" w:rsidRDefault="00F804F4" w:rsidP="00F804F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:rsidR="00EB1528" w:rsidRDefault="00EB1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B016BA"/>
    <w:multiLevelType w:val="hybridMultilevel"/>
    <w:tmpl w:val="B53A0B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4F1D"/>
    <w:multiLevelType w:val="hybridMultilevel"/>
    <w:tmpl w:val="B53A0B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D62EC"/>
    <w:multiLevelType w:val="hybridMultilevel"/>
    <w:tmpl w:val="DB58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DB"/>
    <w:rsid w:val="00057BBE"/>
    <w:rsid w:val="0014560D"/>
    <w:rsid w:val="001545DB"/>
    <w:rsid w:val="002F560D"/>
    <w:rsid w:val="00370E5B"/>
    <w:rsid w:val="003F6595"/>
    <w:rsid w:val="0042269D"/>
    <w:rsid w:val="0045290A"/>
    <w:rsid w:val="00666172"/>
    <w:rsid w:val="00703321"/>
    <w:rsid w:val="008B67E8"/>
    <w:rsid w:val="008C2DA5"/>
    <w:rsid w:val="0099575C"/>
    <w:rsid w:val="00D643AF"/>
    <w:rsid w:val="00E26FFE"/>
    <w:rsid w:val="00EB1528"/>
    <w:rsid w:val="00F804F4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C894"/>
  <w15:chartTrackingRefBased/>
  <w15:docId w15:val="{691D3172-33F9-47AC-B592-7840A284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7BBE"/>
    <w:pPr>
      <w:ind w:left="720"/>
      <w:contextualSpacing/>
    </w:pPr>
  </w:style>
  <w:style w:type="paragraph" w:customStyle="1" w:styleId="Bezformatowania">
    <w:name w:val="Bez formatowania"/>
    <w:rsid w:val="00057BBE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paragraph" w:customStyle="1" w:styleId="Normal1">
    <w:name w:val="Normal1"/>
    <w:rsid w:val="00057BBE"/>
    <w:pPr>
      <w:suppressAutoHyphens/>
      <w:spacing w:after="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Normal2">
    <w:name w:val="Normal2"/>
    <w:rsid w:val="00057BBE"/>
    <w:pPr>
      <w:suppressAutoHyphens/>
      <w:spacing w:after="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B15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EB1528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B152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28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EB152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B152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6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13</Pages>
  <Words>1974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15</cp:revision>
  <cp:lastPrinted>2019-01-15T13:04:00Z</cp:lastPrinted>
  <dcterms:created xsi:type="dcterms:W3CDTF">2018-12-24T10:50:00Z</dcterms:created>
  <dcterms:modified xsi:type="dcterms:W3CDTF">2019-01-29T09:23:00Z</dcterms:modified>
</cp:coreProperties>
</file>