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3E81C" w14:textId="77777777" w:rsidR="00BF2237" w:rsidRPr="0027782B" w:rsidRDefault="00BF2237" w:rsidP="0027782B">
      <w:pPr>
        <w:spacing w:after="0" w:line="288" w:lineRule="auto"/>
        <w:rPr>
          <w:rFonts w:ascii="Garamond" w:hAnsi="Garamond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2"/>
      </w:tblGrid>
      <w:tr w:rsidR="00C56A42" w:rsidRPr="0027782B" w14:paraId="0246D849" w14:textId="77777777" w:rsidTr="00C56A42">
        <w:trPr>
          <w:trHeight w:val="643"/>
          <w:jc w:val="center"/>
        </w:trPr>
        <w:tc>
          <w:tcPr>
            <w:tcW w:w="13882" w:type="dxa"/>
            <w:shd w:val="clear" w:color="auto" w:fill="F2F2F2"/>
            <w:vAlign w:val="center"/>
          </w:tcPr>
          <w:p w14:paraId="0E5F040C" w14:textId="77777777" w:rsidR="00476177" w:rsidRDefault="002A27B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>
              <w:rPr>
                <w:rFonts w:ascii="Garamond" w:hAnsi="Garamond" w:cs="Arial"/>
                <w:b/>
                <w:bdr w:val="none" w:sz="0" w:space="0" w:color="auto" w:frame="1"/>
              </w:rPr>
              <w:t>D</w:t>
            </w:r>
            <w:r w:rsidRPr="002A27B7">
              <w:rPr>
                <w:rFonts w:ascii="Garamond" w:hAnsi="Garamond" w:cs="Arial"/>
                <w:b/>
                <w:bdr w:val="none" w:sz="0" w:space="0" w:color="auto" w:frame="1"/>
              </w:rPr>
              <w:t xml:space="preserve">ostawa systemu do planowania radioterapii </w:t>
            </w:r>
            <w:r w:rsidR="00476177" w:rsidRPr="002A27B7">
              <w:rPr>
                <w:rFonts w:ascii="Garamond" w:hAnsi="Garamond" w:cs="Arial"/>
                <w:b/>
                <w:bdr w:val="none" w:sz="0" w:space="0" w:color="auto" w:frame="1"/>
              </w:rPr>
              <w:t>wraz z instalacją, uruchomieniem i szkoleniem personelu</w:t>
            </w:r>
          </w:p>
          <w:p w14:paraId="4FB7C079" w14:textId="6D37B30A" w:rsidR="002C3160" w:rsidRDefault="002C3160" w:rsidP="0024269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</w:p>
          <w:p w14:paraId="0CDC6C3D" w14:textId="01602390" w:rsidR="00476177" w:rsidRDefault="00476177" w:rsidP="00476177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 w:cs="Arial"/>
                <w:b/>
                <w:bdr w:val="none" w:sz="0" w:space="0" w:color="auto" w:frame="1"/>
              </w:rPr>
            </w:pPr>
            <w:r w:rsidRPr="00476177">
              <w:rPr>
                <w:rFonts w:ascii="Garamond" w:hAnsi="Garamond" w:cs="Arial"/>
                <w:b/>
                <w:bdr w:val="none" w:sz="0" w:space="0" w:color="auto" w:frame="1"/>
              </w:rPr>
              <w:t>Zamówienie realizowane jest w ramach programu Narodowej Strategii Onkologicznej pn.: „Doposażenie zakładów radioterapii”</w:t>
            </w:r>
          </w:p>
          <w:p w14:paraId="142C4B06" w14:textId="33363BD2" w:rsidR="002C3160" w:rsidRPr="0024269A" w:rsidRDefault="002C3160" w:rsidP="00476177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 w:cs="Arial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2E41759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</w:pPr>
      <w:bookmarkStart w:id="0" w:name="_Hlk6143199"/>
    </w:p>
    <w:p w14:paraId="33609F55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u w:val="single"/>
          <w:lang w:eastAsia="zh-CN" w:bidi="hi-IN"/>
        </w:rPr>
        <w:t>Uwagi i objaśnienia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:</w:t>
      </w:r>
    </w:p>
    <w:p w14:paraId="1CCD3CF3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8A7EB2E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2CF60054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4776E54" w14:textId="0B18483E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potwierdzenia [str. oferty</w:t>
      </w:r>
      <w:r w:rsidR="00820BA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pliku</w:t>
      </w: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4D0883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6F06C859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rekondycjonowanym</w:t>
      </w:r>
      <w:proofErr w:type="spellEnd"/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7240EFC5" w14:textId="77777777" w:rsidR="00BF2237" w:rsidRPr="0027782B" w:rsidRDefault="00BF2237" w:rsidP="0027782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0C3A3BDC" w14:textId="47ED9FCB" w:rsidR="002A27B7" w:rsidRDefault="002A27B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DC311B1" w14:textId="01C1DF89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4970A52" w14:textId="6040F2F3" w:rsidR="00DB7B4C" w:rsidRDefault="00DB7B4C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6B5317D" w14:textId="77777777" w:rsidR="00476177" w:rsidRDefault="0047617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19B192" w14:textId="76BE0E78" w:rsidR="002C3160" w:rsidRDefault="002C3160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FD4CECC" w14:textId="77777777" w:rsidR="00BF2237" w:rsidRPr="0027782B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  <w:r w:rsidRPr="0027782B">
        <w:rPr>
          <w:rFonts w:ascii="Garamond" w:eastAsia="Times New Roman" w:hAnsi="Garamond" w:cs="Arial"/>
          <w:b/>
          <w:bCs/>
        </w:rPr>
        <w:lastRenderedPageBreak/>
        <w:t>Tabela wyceny:</w:t>
      </w:r>
    </w:p>
    <w:p w14:paraId="620E37FB" w14:textId="4842B63C" w:rsidR="00BF2237" w:rsidRDefault="00BF2237" w:rsidP="0027782B">
      <w:pPr>
        <w:spacing w:line="288" w:lineRule="auto"/>
        <w:rPr>
          <w:rFonts w:ascii="Garamond" w:eastAsia="Times New Roman" w:hAnsi="Garamond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BF2237" w:rsidRPr="0027782B" w14:paraId="78D10702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868A2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26EB83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DB26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BF2237" w:rsidRPr="0027782B" w14:paraId="38F5CB7B" w14:textId="77777777" w:rsidTr="00186CC4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CB7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96CAD" w14:textId="14E2BF8F" w:rsidR="00BF2237" w:rsidRPr="0027782B" w:rsidRDefault="00BF2237" w:rsidP="0027782B">
            <w:pPr>
              <w:spacing w:line="288" w:lineRule="auto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 xml:space="preserve">A: Cena brutto za cały sprzęt 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02C3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90CF4D9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C02F4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E5A193E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B: </w:t>
            </w:r>
            <w:r w:rsidRPr="0027782B">
              <w:rPr>
                <w:rFonts w:ascii="Garamond" w:hAnsi="Garamond"/>
                <w:b/>
                <w:bCs/>
                <w:sz w:val="20"/>
                <w:szCs w:val="20"/>
              </w:rPr>
              <w:t xml:space="preserve">Cena brutto dostawy, instalacji i uruchomienia całego sprzętu 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727C2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5A02F116" w14:textId="77777777" w:rsidTr="00186CC4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A0B9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eastAsia="Times New Roman" w:hAnsi="Garamond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3B62C4" w14:textId="77777777" w:rsidR="00BF2237" w:rsidRPr="0027782B" w:rsidRDefault="00BF2237" w:rsidP="0027782B">
            <w:pPr>
              <w:spacing w:line="288" w:lineRule="auto"/>
              <w:rPr>
                <w:rFonts w:ascii="Garamond" w:hAnsi="Garamond"/>
                <w:b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C: </w:t>
            </w:r>
            <w:r w:rsidRPr="0027782B">
              <w:rPr>
                <w:rFonts w:ascii="Garamond" w:eastAsia="Times New Roman" w:hAnsi="Garamond"/>
                <w:b/>
                <w:bCs/>
                <w:sz w:val="20"/>
                <w:szCs w:val="20"/>
              </w:rPr>
              <w:t>Cena brutto wszystkich szkoleń</w:t>
            </w:r>
            <w:r w:rsidRPr="0027782B">
              <w:rPr>
                <w:rFonts w:ascii="Garamond" w:hAnsi="Garamond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448DAE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E7CE08" w14:textId="77777777" w:rsidR="00BF2237" w:rsidRPr="0027782B" w:rsidRDefault="00BF2237" w:rsidP="0027782B">
      <w:pPr>
        <w:tabs>
          <w:tab w:val="left" w:pos="8985"/>
        </w:tabs>
        <w:spacing w:line="288" w:lineRule="auto"/>
        <w:rPr>
          <w:rFonts w:ascii="Garamond" w:hAnsi="Garamond"/>
          <w:sz w:val="20"/>
          <w:szCs w:val="20"/>
        </w:rPr>
      </w:pPr>
    </w:p>
    <w:p w14:paraId="06A27028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20B55B31" w14:textId="5D6E32A8" w:rsidR="00BF2237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422"/>
        <w:gridCol w:w="2299"/>
        <w:gridCol w:w="7700"/>
      </w:tblGrid>
      <w:tr w:rsidR="009A2D2E" w:rsidRPr="00D8198B" w14:paraId="01BB1824" w14:textId="77777777" w:rsidTr="000B19CA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76BDE3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22" w:type="dxa"/>
            <w:tcBorders>
              <w:bottom w:val="nil"/>
            </w:tcBorders>
            <w:shd w:val="clear" w:color="auto" w:fill="F2F2F2"/>
            <w:vAlign w:val="center"/>
          </w:tcPr>
          <w:p w14:paraId="155FB5E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D27CA5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7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0486FC" w14:textId="51D4EAAF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Suma w/w pozycji 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>A+ B + C: Cena brutto oferty</w:t>
            </w:r>
            <w:r w:rsidRPr="0027782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*</w:t>
            </w:r>
            <w:r w:rsidRPr="0027782B">
              <w:rPr>
                <w:rFonts w:ascii="Garamond" w:eastAsia="Andale Sans UI" w:hAnsi="Garamond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27782B">
              <w:rPr>
                <w:rFonts w:ascii="Garamond" w:eastAsia="Times New Roman" w:hAnsi="Garamond"/>
                <w:b/>
                <w:kern w:val="2"/>
                <w:sz w:val="20"/>
                <w:szCs w:val="20"/>
              </w:rPr>
              <w:t>(w zł)</w:t>
            </w:r>
          </w:p>
        </w:tc>
      </w:tr>
      <w:tr w:rsidR="009A2D2E" w:rsidRPr="00D8198B" w14:paraId="28004E4C" w14:textId="77777777" w:rsidTr="000B19CA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199BF1A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44E766" w14:textId="77777777" w:rsidR="009A2D2E" w:rsidRPr="00E212A5" w:rsidRDefault="009A2D2E" w:rsidP="00510C9F">
            <w:pPr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System planowania radioterapii</w:t>
            </w:r>
          </w:p>
        </w:tc>
        <w:tc>
          <w:tcPr>
            <w:tcW w:w="2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6DD8D7" w14:textId="77777777" w:rsidR="009A2D2E" w:rsidRPr="00D8198B" w:rsidRDefault="009A2D2E" w:rsidP="00510C9F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247DF1" w14:textId="77777777" w:rsidR="009A2D2E" w:rsidRPr="00D8198B" w:rsidRDefault="009A2D2E" w:rsidP="00510C9F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679A44CD" w14:textId="244E4A49" w:rsidR="009A2D2E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A8495E1" w14:textId="77777777" w:rsidR="009A2D2E" w:rsidRPr="0027782B" w:rsidRDefault="009A2D2E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6878242A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27782B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4105664" w14:textId="0AE9A03F" w:rsidR="00BF2237" w:rsidRDefault="00BF2237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3FB54BDB" w14:textId="292BE887" w:rsidR="00844122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14843FF6" w14:textId="77777777" w:rsidR="00844122" w:rsidRPr="0027782B" w:rsidRDefault="00844122" w:rsidP="0027782B">
      <w:pPr>
        <w:tabs>
          <w:tab w:val="left" w:pos="10050"/>
        </w:tabs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sz w:val="20"/>
          <w:szCs w:val="20"/>
          <w:lang w:eastAsia="zh-CN" w:bidi="hi-IN"/>
        </w:rPr>
      </w:pPr>
    </w:p>
    <w:p w14:paraId="61CF3330" w14:textId="77777777" w:rsidR="00BF2237" w:rsidRPr="0027782B" w:rsidRDefault="00BF2237" w:rsidP="0027782B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bookmarkEnd w:id="0"/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26"/>
        <w:gridCol w:w="1417"/>
        <w:gridCol w:w="3117"/>
        <w:gridCol w:w="1417"/>
        <w:gridCol w:w="2409"/>
      </w:tblGrid>
      <w:tr w:rsidR="00BF2237" w:rsidRPr="0027782B" w14:paraId="7FD4EC62" w14:textId="77777777" w:rsidTr="00C43E5B">
        <w:tc>
          <w:tcPr>
            <w:tcW w:w="709" w:type="dxa"/>
          </w:tcPr>
          <w:p w14:paraId="64EB91C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886" w:type="dxa"/>
            <w:gridSpan w:val="5"/>
            <w:vAlign w:val="center"/>
            <w:hideMark/>
          </w:tcPr>
          <w:p w14:paraId="3C43605F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PARAMETRY TECHNICZNE I EKSPLOATACYJNE </w:t>
            </w:r>
          </w:p>
        </w:tc>
      </w:tr>
      <w:tr w:rsidR="00BF2237" w:rsidRPr="0027782B" w14:paraId="60F10011" w14:textId="77777777" w:rsidTr="00C43E5B">
        <w:tc>
          <w:tcPr>
            <w:tcW w:w="709" w:type="dxa"/>
            <w:vAlign w:val="center"/>
            <w:hideMark/>
          </w:tcPr>
          <w:p w14:paraId="267D5D92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5526" w:type="dxa"/>
            <w:vAlign w:val="center"/>
            <w:hideMark/>
          </w:tcPr>
          <w:p w14:paraId="327B6828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417" w:type="dxa"/>
            <w:vAlign w:val="center"/>
            <w:hideMark/>
          </w:tcPr>
          <w:p w14:paraId="43579043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Parametr wymagany </w:t>
            </w:r>
          </w:p>
        </w:tc>
        <w:tc>
          <w:tcPr>
            <w:tcW w:w="3117" w:type="dxa"/>
            <w:vAlign w:val="center"/>
            <w:hideMark/>
          </w:tcPr>
          <w:p w14:paraId="114629F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417" w:type="dxa"/>
            <w:hideMark/>
          </w:tcPr>
          <w:p w14:paraId="4BC5ABF8" w14:textId="3D9827DF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potwierdzenia [str. oferty</w:t>
            </w:r>
            <w:r w:rsidR="00820BA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pliku</w:t>
            </w: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409" w:type="dxa"/>
            <w:vAlign w:val="center"/>
            <w:hideMark/>
          </w:tcPr>
          <w:p w14:paraId="796339DC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  <w:p w14:paraId="6EAF94EB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(punktacja)</w:t>
            </w:r>
          </w:p>
        </w:tc>
      </w:tr>
      <w:tr w:rsidR="00C56A42" w:rsidRPr="0027782B" w14:paraId="1298750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C8064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6F64B9A" w14:textId="476B8139" w:rsidR="00C56A42" w:rsidRPr="0027782B" w:rsidRDefault="00ED5426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INFORMACJE OGÓLNE (dot. stacji planowania leczenia)</w:t>
            </w:r>
          </w:p>
        </w:tc>
        <w:tc>
          <w:tcPr>
            <w:tcW w:w="1417" w:type="dxa"/>
          </w:tcPr>
          <w:p w14:paraId="71BF338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8A10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755D9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686555C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7782B" w:rsidRPr="0027782B" w14:paraId="13EA955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D8CAA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19A45C6" w14:textId="68303093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Rozbudowa posiadanej konfiguracji systemu planowania leczenia </w:t>
            </w:r>
            <w:proofErr w:type="spellStart"/>
            <w:r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sz w:val="20"/>
                <w:szCs w:val="20"/>
              </w:rPr>
              <w:t xml:space="preserve"> o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dwie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licencje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 xml:space="preserve"> na planowanie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w terapii </w:t>
            </w:r>
            <w:r w:rsidR="00375A80" w:rsidRPr="002A27B7">
              <w:rPr>
                <w:rFonts w:ascii="Garamond" w:hAnsi="Garamond"/>
                <w:sz w:val="20"/>
                <w:szCs w:val="20"/>
              </w:rPr>
              <w:t>proton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owe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>j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 oka oraz </w:t>
            </w:r>
            <w:r w:rsidR="00955D10" w:rsidRPr="002A27B7">
              <w:rPr>
                <w:rFonts w:ascii="Garamond" w:hAnsi="Garamond"/>
                <w:sz w:val="20"/>
                <w:szCs w:val="20"/>
              </w:rPr>
              <w:t xml:space="preserve">jedną 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>stację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planowania leczenia</w:t>
            </w:r>
            <w:r w:rsidR="00906B33" w:rsidRPr="002A27B7">
              <w:rPr>
                <w:rFonts w:ascii="Garamond" w:hAnsi="Garamond"/>
                <w:sz w:val="20"/>
                <w:szCs w:val="20"/>
              </w:rPr>
              <w:t xml:space="preserve">.  </w:t>
            </w:r>
          </w:p>
        </w:tc>
        <w:tc>
          <w:tcPr>
            <w:tcW w:w="1417" w:type="dxa"/>
          </w:tcPr>
          <w:p w14:paraId="2673AC0D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9C308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DD780" w14:textId="078EE7FE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0D410F09" w14:textId="7F1A499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27782B" w:rsidRPr="0027782B" w14:paraId="41C0E2AB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F6ED0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32FAFD5A" w14:textId="2B2E639A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 xml:space="preserve">Możliwość wykorzystania </w:t>
            </w:r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zakupionych licencji, o których mowa powyżej </w:t>
            </w:r>
            <w:r w:rsidRPr="002A27B7">
              <w:rPr>
                <w:rFonts w:ascii="Garamond" w:hAnsi="Garamond"/>
                <w:sz w:val="20"/>
                <w:szCs w:val="20"/>
              </w:rPr>
              <w:t>na zaoferowanej stacji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oraz obecnie posiadanych</w:t>
            </w:r>
            <w:r w:rsidR="005C5EC0" w:rsidRPr="002A27B7">
              <w:rPr>
                <w:rFonts w:ascii="Garamond" w:hAnsi="Garamond"/>
                <w:sz w:val="20"/>
                <w:szCs w:val="20"/>
              </w:rPr>
              <w:t xml:space="preserve"> przez Zamawiającego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 stacjach</w:t>
            </w:r>
            <w:r w:rsidR="00AB3A82" w:rsidRPr="002A27B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AB3A82" w:rsidRPr="002A27B7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="00787E84" w:rsidRPr="002A27B7">
              <w:rPr>
                <w:rFonts w:ascii="Garamond" w:hAnsi="Garamond"/>
                <w:sz w:val="20"/>
                <w:szCs w:val="20"/>
              </w:rPr>
              <w:t xml:space="preserve"> (w lokalizacji przy ul. Jakubowskiego 2)</w:t>
            </w:r>
            <w:r w:rsidR="00076D20" w:rsidRPr="002A27B7">
              <w:rPr>
                <w:rFonts w:ascii="Garamond" w:hAnsi="Garamond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14:paraId="61D62CBA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EBCE6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1C1E2" w14:textId="6344460C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F17DE88" w14:textId="7AE13589" w:rsidR="00C56A42" w:rsidRPr="0027782B" w:rsidRDefault="009A2D2E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C56A42" w:rsidRPr="0027782B" w14:paraId="0CEEEE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49D1B" w14:textId="77777777" w:rsidR="00C56A42" w:rsidRPr="0024269A" w:rsidRDefault="00C56A42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4CBC643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SYSTEM PLANOWANIA LECZENIA DLA FIZYKÓW</w:t>
            </w:r>
            <w:r w:rsidRPr="002A27B7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881CDAF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C8825" w14:textId="77777777" w:rsidR="00C56A42" w:rsidRPr="002A27B7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FB78D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2AF17A56" w14:textId="77777777" w:rsidR="00C56A42" w:rsidRPr="0027782B" w:rsidRDefault="00C56A42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13C2AEF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1A33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EE57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Oferowany system planowania leczenia wykorzystuje to samo środowisko pracy co posiadany przez Zamawiającego system planowania leczenia </w:t>
            </w:r>
            <w:proofErr w:type="spellStart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RayStation</w:t>
            </w:r>
            <w:proofErr w:type="spellEnd"/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 xml:space="preserve">, jest zintegrowany oraz korzysta z tej samej bazy danych pacjentów. </w:t>
            </w:r>
          </w:p>
        </w:tc>
        <w:tc>
          <w:tcPr>
            <w:tcW w:w="1417" w:type="dxa"/>
          </w:tcPr>
          <w:p w14:paraId="19C615C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EE77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3589E" w14:textId="5777D170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1AB4D56" w14:textId="2AAAACFA" w:rsidR="009A2D2E" w:rsidRPr="0027782B" w:rsidRDefault="009A2D2E" w:rsidP="009A2D2E">
            <w:pPr>
              <w:tabs>
                <w:tab w:val="left" w:pos="645"/>
                <w:tab w:val="center" w:pos="1221"/>
              </w:tabs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1F14BCA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F0197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0CA3700" w14:textId="77777777" w:rsidR="009A2D2E" w:rsidRPr="00823A4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Obliczenia wykonywane są z użyciem kart graficznych serwerów systemu </w:t>
            </w:r>
            <w:proofErr w:type="spellStart"/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>RayStation</w:t>
            </w:r>
            <w:proofErr w:type="spellEnd"/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 posiadanych przez Zamawiającego, lub dodatkowych kart graficznych jeśli wymaga tego lokalizacja nowej stacji (niezbędne komponenty zostaną dostarczone ze stacją</w:t>
            </w:r>
            <w:r w:rsidR="005C5EC0"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 xml:space="preserve"> przez Wykonawcę</w:t>
            </w:r>
            <w:r w:rsidRPr="00823A4D">
              <w:rPr>
                <w:rFonts w:ascii="Garamond" w:hAnsi="Garamond"/>
                <w:strike/>
                <w:color w:val="000000" w:themeColor="text1"/>
                <w:sz w:val="20"/>
                <w:szCs w:val="20"/>
              </w:rPr>
              <w:t>)</w:t>
            </w:r>
          </w:p>
          <w:p w14:paraId="086B596C" w14:textId="77777777" w:rsidR="00823A4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19522A87" w14:textId="77777777" w:rsidR="00823A4D" w:rsidRPr="00823A4D" w:rsidRDefault="00823A4D" w:rsidP="00823A4D">
            <w:pPr>
              <w:rPr>
                <w:rFonts w:ascii="Garamond" w:hAnsi="Garamond"/>
                <w:sz w:val="20"/>
                <w:szCs w:val="20"/>
              </w:rPr>
            </w:pPr>
            <w:r w:rsidRPr="00823A4D">
              <w:rPr>
                <w:rFonts w:ascii="Garamond" w:hAnsi="Garamond"/>
                <w:sz w:val="20"/>
                <w:szCs w:val="20"/>
              </w:rPr>
              <w:t xml:space="preserve">„Obliczenia wykonywane są z użyciem procesorów serwerów systemu </w:t>
            </w:r>
            <w:proofErr w:type="spellStart"/>
            <w:r w:rsidRPr="00823A4D">
              <w:rPr>
                <w:rFonts w:ascii="Garamond" w:hAnsi="Garamond"/>
                <w:sz w:val="20"/>
                <w:szCs w:val="20"/>
              </w:rPr>
              <w:t>RayStation</w:t>
            </w:r>
            <w:proofErr w:type="spellEnd"/>
            <w:r w:rsidRPr="00823A4D">
              <w:rPr>
                <w:rFonts w:ascii="Garamond" w:hAnsi="Garamond"/>
                <w:sz w:val="20"/>
                <w:szCs w:val="20"/>
              </w:rPr>
              <w:t xml:space="preserve"> posiadanych przez Zamawiającego, lub dodatkowych procesorów jeśli wymaga tego lokalizacja nowej stacji (niezbędne komponenty zostaną dostarczone ze stacją przez </w:t>
            </w:r>
            <w:r w:rsidRPr="00823A4D">
              <w:rPr>
                <w:rFonts w:ascii="Garamond" w:hAnsi="Garamond"/>
                <w:sz w:val="20"/>
                <w:szCs w:val="20"/>
              </w:rPr>
              <w:lastRenderedPageBreak/>
              <w:t>Wykonawcę)”</w:t>
            </w:r>
          </w:p>
          <w:p w14:paraId="70ACB8BF" w14:textId="28ACCE19" w:rsidR="00823A4D" w:rsidRPr="0003032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86EC0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FD7CD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BFE34" w14:textId="62C13CAF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443FB83" w14:textId="3FF04B7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647716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8FC6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C4896F8" w14:textId="7278D631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Oferowana konfiguracja zawiera </w:t>
            </w:r>
            <w:r w:rsidR="00256968"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min. </w:t>
            </w: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2 licencje planowania leczenia protonowego oka. Licencje są pływające 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i można je wykorzystać na dowolnej stacji planowania </w:t>
            </w:r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leczenia </w:t>
            </w:r>
            <w:proofErr w:type="spellStart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RayStation</w:t>
            </w:r>
            <w:proofErr w:type="spellEnd"/>
            <w:r w:rsidR="00AE5D82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, posiadanej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27D45B46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E423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94F1" w14:textId="008C0826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3992CCE6" w14:textId="081CFC0B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Wymagana liczba licencji –  0 pkt.</w:t>
            </w:r>
          </w:p>
          <w:p w14:paraId="4901D4A4" w14:textId="5BEB6703" w:rsidR="009A2D2E" w:rsidRPr="0027782B" w:rsidRDefault="009A2D2E" w:rsidP="0024269A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Wyższa niż wymagana – </w:t>
            </w:r>
            <w:r w:rsid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2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pkt.</w:t>
            </w:r>
          </w:p>
        </w:tc>
      </w:tr>
      <w:tr w:rsidR="009A2D2E" w:rsidRPr="0027782B" w14:paraId="4B77170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FD2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095F6" w14:textId="5840D946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importu obrazów tomograficznych różnych modalności min. 4: MR, PET-CT, CBCT, 4DCT zgodnych ze standardem DICOM</w:t>
            </w:r>
          </w:p>
        </w:tc>
        <w:tc>
          <w:tcPr>
            <w:tcW w:w="1417" w:type="dxa"/>
          </w:tcPr>
          <w:p w14:paraId="5405B00B" w14:textId="5416993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F803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7BA18" w14:textId="09EE0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25F8EC0C" w14:textId="58E0766A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liczba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modalności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531AF007" w14:textId="598448CC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562FE224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5E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F7332D5" w14:textId="77777777" w:rsidR="009A2D2E" w:rsidRPr="0003032D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03032D">
              <w:rPr>
                <w:rFonts w:ascii="Garamond" w:hAnsi="Garamond"/>
                <w:color w:val="000000" w:themeColor="text1"/>
                <w:sz w:val="20"/>
                <w:szCs w:val="20"/>
              </w:rPr>
              <w:t>Wykonywanie rejestracji nieelastycznej (translacja, obrót) obrazów różnych modalności</w:t>
            </w:r>
          </w:p>
        </w:tc>
        <w:tc>
          <w:tcPr>
            <w:tcW w:w="1417" w:type="dxa"/>
          </w:tcPr>
          <w:p w14:paraId="01720D58" w14:textId="65DDA406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6951B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2DFC3" w14:textId="0C0EC389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478F0E99" w14:textId="74D3BC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61AE3C8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0A8C1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77501935" w14:textId="26398735" w:rsid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sz w:val="20"/>
                <w:szCs w:val="20"/>
              </w:rPr>
              <w:t>Obliczenia dla wiązek protonowych z wykorzystaniem algorytmu typu Monte Carlo</w:t>
            </w:r>
          </w:p>
          <w:p w14:paraId="0804D3B3" w14:textId="77777777" w:rsidR="00142731" w:rsidRPr="00823A4D" w:rsidRDefault="00142731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sz w:val="20"/>
                <w:szCs w:val="20"/>
              </w:rPr>
            </w:pPr>
          </w:p>
          <w:p w14:paraId="47A6B168" w14:textId="56E3F393" w:rsidR="00823A4D" w:rsidRPr="00823A4D" w:rsidRDefault="00823A4D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 xml:space="preserve">Obliczenia dla wiązek protonowych w terapii oka z wykorzystaniem algorytmu typu </w:t>
            </w:r>
            <w:proofErr w:type="spellStart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>Pencil</w:t>
            </w:r>
            <w:proofErr w:type="spellEnd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>Beam</w:t>
            </w:r>
            <w:proofErr w:type="spellEnd"/>
          </w:p>
        </w:tc>
        <w:tc>
          <w:tcPr>
            <w:tcW w:w="1417" w:type="dxa"/>
          </w:tcPr>
          <w:p w14:paraId="60F0AC95" w14:textId="7CECA845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9CD1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E841C" w14:textId="2D7006C8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</w:tcPr>
          <w:p w14:paraId="777F174F" w14:textId="0EDDD132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9CDAF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9B919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5D9EB186" w14:textId="59FB8258" w:rsidR="009A2D2E" w:rsidRPr="002A27B7" w:rsidRDefault="00256968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Instalacja 1 szt. stacji roboczej</w:t>
            </w:r>
            <w:r w:rsidR="009A2D2E"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systemu planowania leczenia w Oddziale Klinicznym Okulistyki i Onkologii Okulistycznej przy ul. Kopernika 38 (połączenie sieciowe zapewniane przez Zamawiającego) </w:t>
            </w:r>
          </w:p>
        </w:tc>
        <w:tc>
          <w:tcPr>
            <w:tcW w:w="1417" w:type="dxa"/>
            <w:hideMark/>
          </w:tcPr>
          <w:p w14:paraId="2C0D396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0B29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B0E45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7735878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04294AB6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9CEC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4DFE8DD2" w14:textId="264D55B1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połączenia systemu planowania za pomocą pulpitu zdalnego z komputerem znajdującym się w Pracowni Radioterapii Protonowej w IFJ PAN. </w:t>
            </w:r>
          </w:p>
        </w:tc>
        <w:tc>
          <w:tcPr>
            <w:tcW w:w="1417" w:type="dxa"/>
          </w:tcPr>
          <w:p w14:paraId="39939D81" w14:textId="10D167BC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0E3AE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76081" w14:textId="4C854A53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03DF694" w14:textId="30812061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45FE076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8251C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27EC75F7" w14:textId="1BD6B119" w:rsidR="009A2D2E" w:rsidRPr="00F21473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systemu planowania leczenia z systemem wizualizacji składającym się z 2 lamp RTG</w:t>
            </w:r>
            <w:r w:rsidR="00F214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  <w:r w:rsidR="00F21473"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– </w:t>
            </w:r>
            <w:r w:rsidR="00F21473">
              <w:rPr>
                <w:rFonts w:ascii="Garamond" w:hAnsi="Garamond"/>
                <w:color w:val="FF0000"/>
                <w:sz w:val="20"/>
                <w:szCs w:val="20"/>
              </w:rPr>
              <w:t xml:space="preserve">polegająca na </w:t>
            </w:r>
            <w:r w:rsidR="00F21473" w:rsidRPr="00F21473">
              <w:rPr>
                <w:rFonts w:ascii="Garamond" w:hAnsi="Garamond"/>
                <w:color w:val="FF0000"/>
                <w:sz w:val="20"/>
                <w:szCs w:val="20"/>
              </w:rPr>
              <w:t>min.:</w:t>
            </w:r>
          </w:p>
          <w:p w14:paraId="35765D72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możliwość importu obrazów radiograficznych w celu wykonania konturowania i ustalenia pozycji terapeutycznej</w:t>
            </w:r>
          </w:p>
          <w:p w14:paraId="66748480" w14:textId="22DA5BE2" w:rsidR="00F21473" w:rsidRPr="002A27B7" w:rsidRDefault="00F21473" w:rsidP="00F21473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lastRenderedPageBreak/>
              <w:t>- możliwość eksportu obrazów DRR w celu weryfikacji lokalizacji pacjenta na aparacie</w:t>
            </w:r>
            <w:r>
              <w:rPr>
                <w:rFonts w:ascii="Garamond" w:hAnsi="Garamond"/>
                <w:color w:val="FF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F0C20D5" w14:textId="19945C30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4484C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658EF" w14:textId="6BA1580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246EB40C" w14:textId="27BB066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386CB7C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869D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048FDD93" w14:textId="77777777" w:rsidR="00EC0041" w:rsidRPr="000E2E0A" w:rsidRDefault="009A2D2E" w:rsidP="00610A8D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trike/>
                <w:color w:val="0D0D0D" w:themeColor="text1" w:themeTint="F2"/>
                <w:sz w:val="20"/>
                <w:szCs w:val="20"/>
              </w:rPr>
            </w:pPr>
            <w:r w:rsidRPr="000E2E0A">
              <w:rPr>
                <w:rFonts w:ascii="Garamond" w:hAnsi="Garamond"/>
                <w:strike/>
                <w:color w:val="0D0D0D" w:themeColor="text1" w:themeTint="F2"/>
                <w:sz w:val="20"/>
                <w:szCs w:val="20"/>
              </w:rPr>
              <w:t xml:space="preserve">Możliwość eksportu planu celem realizacji planu na aparacie protonowym (cyklotron) oraz wydruku planu leczenia </w:t>
            </w:r>
          </w:p>
          <w:p w14:paraId="1E3406BA" w14:textId="77777777" w:rsidR="000E2E0A" w:rsidRDefault="000E2E0A" w:rsidP="00610A8D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</w:p>
          <w:p w14:paraId="1BDB6D62" w14:textId="77777777" w:rsidR="000E2E0A" w:rsidRDefault="000E2E0A" w:rsidP="00610A8D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</w:p>
          <w:p w14:paraId="2B50C3C8" w14:textId="7F070CB1" w:rsidR="000E2E0A" w:rsidRPr="000E2E0A" w:rsidRDefault="000E2E0A" w:rsidP="000E2E0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0E2E0A">
              <w:rPr>
                <w:rFonts w:ascii="Garamond" w:hAnsi="Garamond"/>
                <w:color w:val="00B0F0"/>
                <w:sz w:val="20"/>
                <w:szCs w:val="20"/>
              </w:rPr>
              <w:t xml:space="preserve">Możliwość wydruku raportu planu leczenia celem wpisania parametrów planu i realizacji planu na aparacie protonowym przy czym wykonawca </w:t>
            </w:r>
            <w:r>
              <w:rPr>
                <w:rFonts w:ascii="Garamond" w:hAnsi="Garamond"/>
                <w:color w:val="00B0F0"/>
                <w:sz w:val="20"/>
                <w:szCs w:val="20"/>
              </w:rPr>
              <w:t>potwierdza</w:t>
            </w:r>
            <w:bookmarkStart w:id="1" w:name="_GoBack"/>
            <w:bookmarkEnd w:id="1"/>
            <w:r w:rsidRPr="000E2E0A">
              <w:rPr>
                <w:rFonts w:ascii="Garamond" w:hAnsi="Garamond"/>
                <w:color w:val="00B0F0"/>
                <w:sz w:val="20"/>
                <w:szCs w:val="20"/>
              </w:rPr>
              <w:t>, że w przyszłości w sytuacji utworzenia przez Szpital  komunikacji DICOM pomiędzy stanowiskiem do terapii oka i systemami planowania leczenia, umożliwi eksport planu celem realizacji planu na aparacie protonowym (cyklotron) oraz wydruku planu leczenia.</w:t>
            </w:r>
          </w:p>
        </w:tc>
        <w:tc>
          <w:tcPr>
            <w:tcW w:w="1417" w:type="dxa"/>
            <w:hideMark/>
          </w:tcPr>
          <w:p w14:paraId="54739A5C" w14:textId="77777777" w:rsidR="009A2D2E" w:rsidRPr="002A27B7" w:rsidRDefault="009A2D2E" w:rsidP="009A2D2E">
            <w:pPr>
              <w:spacing w:line="288" w:lineRule="auto"/>
              <w:jc w:val="center"/>
              <w:rPr>
                <w:rFonts w:ascii="Garamond" w:hAnsi="Garamond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F598EE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F8D6AC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66507A32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507225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0FDE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0489D37A" w14:textId="6C0F0347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Możliwość integracji systemu z systemem zarz</w:t>
            </w:r>
            <w:r w:rsidR="008C180C"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ądzania radioterapią posiadanym</w:t>
            </w: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 xml:space="preserve"> przez Zamawiającego</w:t>
            </w:r>
          </w:p>
        </w:tc>
        <w:tc>
          <w:tcPr>
            <w:tcW w:w="1417" w:type="dxa"/>
          </w:tcPr>
          <w:p w14:paraId="36829E27" w14:textId="706656EC" w:rsidR="009A2D2E" w:rsidRPr="002A27B7" w:rsidRDefault="0024269A" w:rsidP="009A2D2E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FA05C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BD55D3" w14:textId="085B753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</w:tcPr>
          <w:p w14:paraId="67925D03" w14:textId="4EFD3EA0" w:rsidR="009A2D2E" w:rsidRPr="0024269A" w:rsidRDefault="0024269A" w:rsidP="0024269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24269A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Tak – 3 pkt., nie – 0 pkt.</w:t>
            </w:r>
          </w:p>
        </w:tc>
      </w:tr>
      <w:tr w:rsidR="009A2D2E" w:rsidRPr="0027782B" w14:paraId="35312E60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DEE5F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360E7B7E" w14:textId="6662FBDF" w:rsidR="009A2D2E" w:rsidRPr="00B823B6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D0D0D" w:themeColor="text1" w:themeTint="F2"/>
                <w:sz w:val="20"/>
                <w:szCs w:val="20"/>
              </w:rPr>
            </w:pPr>
            <w:r w:rsidRPr="00B823B6">
              <w:rPr>
                <w:rFonts w:ascii="Garamond" w:hAnsi="Garamond"/>
                <w:color w:val="0D0D0D" w:themeColor="text1" w:themeTint="F2"/>
                <w:sz w:val="20"/>
                <w:szCs w:val="20"/>
              </w:rPr>
              <w:t>Export i import danych w formacie DICOM.</w:t>
            </w:r>
          </w:p>
        </w:tc>
        <w:tc>
          <w:tcPr>
            <w:tcW w:w="1417" w:type="dxa"/>
            <w:hideMark/>
          </w:tcPr>
          <w:p w14:paraId="64A46777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222024" w14:textId="77777777" w:rsidR="009A2D2E" w:rsidRPr="002A27B7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37CBBC" w14:textId="155C60E5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hideMark/>
          </w:tcPr>
          <w:p w14:paraId="718FD026" w14:textId="77777777" w:rsidR="009A2D2E" w:rsidRPr="0027782B" w:rsidRDefault="009A2D2E" w:rsidP="00510C9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2014B857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3A23D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7B03E08A" w14:textId="4ED74D2F" w:rsidR="009A2D2E" w:rsidRPr="002A27B7" w:rsidRDefault="009A2D2E" w:rsidP="00B823B6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Integracja z serwerami PACS oraz systemem OIS</w:t>
            </w:r>
            <w:r w:rsidR="00B823B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posiadanym przez Zamawiającego</w:t>
            </w:r>
          </w:p>
        </w:tc>
        <w:tc>
          <w:tcPr>
            <w:tcW w:w="1417" w:type="dxa"/>
            <w:hideMark/>
          </w:tcPr>
          <w:p w14:paraId="5EC9FAE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C4C6A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C2AB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hideMark/>
          </w:tcPr>
          <w:p w14:paraId="0DFF8EC4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5BBC5A4D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1459A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  <w:hideMark/>
          </w:tcPr>
          <w:p w14:paraId="62C7F0FF" w14:textId="5DDBE387" w:rsidR="009A2D2E" w:rsidRPr="002A27B7" w:rsidRDefault="00B5169C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obliczenia rozkładów dawki planu weryfikacyjnego w fantomie wodnym</w:t>
            </w:r>
          </w:p>
        </w:tc>
        <w:tc>
          <w:tcPr>
            <w:tcW w:w="1417" w:type="dxa"/>
            <w:hideMark/>
          </w:tcPr>
          <w:p w14:paraId="2B754E7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A27B7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0E1CF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39838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  <w:hideMark/>
          </w:tcPr>
          <w:p w14:paraId="0F2363E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  <w:tr w:rsidR="009A2D2E" w:rsidRPr="0027782B" w14:paraId="721A361E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FE064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6F002D06" w14:textId="7A0DDF2F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</w:pPr>
            <w:r w:rsidRPr="002A27B7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STACJA PLANOWANIA LECZENIA</w:t>
            </w:r>
          </w:p>
        </w:tc>
        <w:tc>
          <w:tcPr>
            <w:tcW w:w="1417" w:type="dxa"/>
          </w:tcPr>
          <w:p w14:paraId="74CC3111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835CF9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2A9C7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0F8811A9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A2D2E" w:rsidRPr="0027782B" w14:paraId="47E8C012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F04E8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57BC09E1" w14:textId="2A780D58" w:rsidR="009A2D2E" w:rsidRPr="002A27B7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2 monitory referencyjne zgodne ze standa</w:t>
            </w:r>
            <w:r w:rsidR="0024269A" w:rsidRPr="002A27B7">
              <w:rPr>
                <w:rFonts w:ascii="Garamond" w:hAnsi="Garamond"/>
                <w:sz w:val="20"/>
                <w:szCs w:val="20"/>
              </w:rPr>
              <w:t xml:space="preserve">rdem DICOM o przekątnej min. </w:t>
            </w:r>
            <w:r w:rsidRPr="002A27B7">
              <w:rPr>
                <w:rFonts w:ascii="Garamond" w:hAnsi="Garamond"/>
                <w:sz w:val="20"/>
                <w:szCs w:val="20"/>
              </w:rPr>
              <w:t xml:space="preserve">23 cale, wyświetlające obraz w proporcji min. 16:10 </w:t>
            </w:r>
          </w:p>
        </w:tc>
        <w:tc>
          <w:tcPr>
            <w:tcW w:w="1417" w:type="dxa"/>
          </w:tcPr>
          <w:p w14:paraId="63D3CF28" w14:textId="34BC06A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A27B7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BF2A3D" w14:textId="77777777" w:rsidR="009A2D2E" w:rsidRPr="002A27B7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457E6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09" w:type="dxa"/>
            <w:vAlign w:val="center"/>
          </w:tcPr>
          <w:p w14:paraId="64D1D76D" w14:textId="704305B8" w:rsidR="009A2D2E" w:rsidRPr="009A2D2E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Wymagana 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przekątna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–</w:t>
            </w:r>
            <w:r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0 pkt.</w:t>
            </w:r>
          </w:p>
          <w:p w14:paraId="4E6D086B" w14:textId="61426E67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9A2D2E">
              <w:rPr>
                <w:rFonts w:ascii="Garamond" w:eastAsia="Lucida Sans Unicode" w:hAnsi="Garamond"/>
                <w:kern w:val="3"/>
                <w:sz w:val="18"/>
                <w:szCs w:val="18"/>
                <w:lang w:eastAsia="zh-CN" w:bidi="hi-IN"/>
              </w:rPr>
              <w:t>Wyższa niż wymagana – 1 pkt.</w:t>
            </w:r>
          </w:p>
        </w:tc>
      </w:tr>
      <w:tr w:rsidR="009A2D2E" w:rsidRPr="0027782B" w14:paraId="3AA25A5A" w14:textId="77777777" w:rsidTr="00C43E5B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E50D40" w14:textId="77777777" w:rsidR="009A2D2E" w:rsidRPr="0024269A" w:rsidRDefault="009A2D2E" w:rsidP="0024269A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ind w:left="0" w:firstLine="0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526" w:type="dxa"/>
          </w:tcPr>
          <w:p w14:paraId="123A5999" w14:textId="1A919D2F" w:rsidR="009A2D2E" w:rsidRPr="0027782B" w:rsidRDefault="009A2D2E" w:rsidP="009A2D2E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 xml:space="preserve">Komputer typu 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endpoint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, umożliwiający uruchomienie systemu planowania leczenia, zgodny ze specyfikacją producenta </w:t>
            </w:r>
          </w:p>
        </w:tc>
        <w:tc>
          <w:tcPr>
            <w:tcW w:w="1417" w:type="dxa"/>
          </w:tcPr>
          <w:p w14:paraId="638BF41C" w14:textId="6136F6D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11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0B27D" w14:textId="77777777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C1080" w14:textId="14A8908B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Nie dotyczy</w:t>
            </w:r>
          </w:p>
        </w:tc>
        <w:tc>
          <w:tcPr>
            <w:tcW w:w="2409" w:type="dxa"/>
            <w:vAlign w:val="center"/>
          </w:tcPr>
          <w:p w14:paraId="4CC19C9F" w14:textId="21BDD055" w:rsidR="009A2D2E" w:rsidRPr="0027782B" w:rsidRDefault="009A2D2E" w:rsidP="009A2D2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  <w:t>- - -</w:t>
            </w:r>
          </w:p>
        </w:tc>
      </w:tr>
    </w:tbl>
    <w:p w14:paraId="63E11D74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E33D10B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BF2237" w:rsidRPr="0027782B" w14:paraId="2D751D59" w14:textId="77777777" w:rsidTr="00C43E5B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E0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lastRenderedPageBreak/>
              <w:t>WARUNKI GWARANCJI, SERWISU I SZKOLENIA DLA WSZYSTKICH OFEROWANYCH URZĄDZEŃ</w:t>
            </w:r>
          </w:p>
        </w:tc>
      </w:tr>
      <w:tr w:rsidR="00BF2237" w:rsidRPr="0027782B" w14:paraId="1CB6E1E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9D2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8F07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B95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921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C7C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27782B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BF2237" w:rsidRPr="0027782B" w14:paraId="1C016E7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46FD9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9C04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2A8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FD7E8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895C" w14:textId="77777777" w:rsidR="00BF2237" w:rsidRPr="0027782B" w:rsidRDefault="00BF2237" w:rsidP="0027782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</w:pPr>
          </w:p>
        </w:tc>
      </w:tr>
      <w:tr w:rsidR="00BF2237" w:rsidRPr="0027782B" w14:paraId="691A67D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83946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568" w14:textId="7375B190" w:rsidR="00BF2237" w:rsidRPr="0027782B" w:rsidRDefault="0027782B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wyłą</w:t>
            </w:r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>czeń</w:t>
            </w:r>
            <w:proofErr w:type="spellEnd"/>
            <w:r w:rsidR="00BF2237"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209F9DBE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</w:p>
          <w:p w14:paraId="26733607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6045" w14:textId="0D9EE26E" w:rsidR="00BF2237" w:rsidRPr="007B3A67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FF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=&gt; </w:t>
            </w:r>
            <w:r w:rsidRP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>24</w:t>
            </w:r>
            <w:r w:rsid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 xml:space="preserve"> </w:t>
            </w:r>
            <w:r w:rsidR="007B3A67">
              <w:rPr>
                <w:rFonts w:ascii="Garamond" w:hAnsi="Garamond"/>
                <w:color w:val="FF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5F39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885" w14:textId="759AD623" w:rsidR="00BF2237" w:rsidRPr="0024269A" w:rsidRDefault="002A27B7" w:rsidP="0024269A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</w:rPr>
              <w:t>Najdłuższy okres –</w:t>
            </w:r>
            <w:r w:rsidR="00BF2237" w:rsidRPr="0024269A">
              <w:rPr>
                <w:rFonts w:ascii="Garamond" w:hAnsi="Garamond"/>
                <w:color w:val="000000"/>
                <w:sz w:val="18"/>
                <w:szCs w:val="18"/>
              </w:rPr>
              <w:t xml:space="preserve"> 10 pkt.;</w:t>
            </w:r>
          </w:p>
          <w:p w14:paraId="7D4F5FC8" w14:textId="74F3D355" w:rsidR="00BF2237" w:rsidRPr="0027782B" w:rsidRDefault="00BF2237" w:rsidP="002A27B7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Inne – proporcjonalnie mniej</w:t>
            </w:r>
            <w:r w:rsidR="002A27B7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24269A">
              <w:rPr>
                <w:rFonts w:ascii="Garamond" w:hAnsi="Garamond"/>
                <w:color w:val="000000"/>
                <w:sz w:val="18"/>
                <w:szCs w:val="18"/>
              </w:rPr>
              <w:t>względem najdłuższego okresu.</w:t>
            </w:r>
          </w:p>
        </w:tc>
      </w:tr>
      <w:tr w:rsidR="00BF2237" w:rsidRPr="0027782B" w14:paraId="3EB3777E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EFB2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C7CE" w14:textId="38072C88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Gwarancja dostępności części zamiennych [liczba lat] – min. </w:t>
            </w:r>
            <w:r w:rsidRPr="007B3A67">
              <w:rPr>
                <w:rFonts w:ascii="Garamond" w:hAnsi="Garamond"/>
                <w:strike/>
                <w:color w:val="000000"/>
                <w:sz w:val="20"/>
                <w:szCs w:val="20"/>
              </w:rPr>
              <w:t>8 lat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="007B3A67">
              <w:rPr>
                <w:rFonts w:ascii="Garamond" w:hAnsi="Garamond"/>
                <w:color w:val="FF0000"/>
                <w:sz w:val="20"/>
                <w:szCs w:val="20"/>
              </w:rPr>
              <w:t xml:space="preserve">5 lat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E0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851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67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3CDA29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BDFFD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075" w14:textId="77777777" w:rsidR="00BF2237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iCs/>
                <w:sz w:val="20"/>
                <w:szCs w:val="20"/>
              </w:rPr>
            </w:pPr>
            <w:r w:rsidRPr="0027782B">
              <w:rPr>
                <w:rFonts w:ascii="Garamond" w:hAnsi="Garamond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  <w:p w14:paraId="2ACC9DC4" w14:textId="3546D1EE" w:rsidR="00823A4D" w:rsidRPr="0027782B" w:rsidRDefault="00823A4D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2C2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4176F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BE6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2DDD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3FEF0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DC81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3E38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C6D6C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F0A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4012EC2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43A8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D95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89B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935E1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D10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F47F02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A7760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643C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1AC7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EC1AF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57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48AB473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539B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40F6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27782B">
              <w:rPr>
                <w:rFonts w:ascii="Garamond" w:hAnsi="Garamond"/>
                <w:sz w:val="20"/>
                <w:szCs w:val="20"/>
              </w:rPr>
              <w:t>48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D86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A0131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56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A3F0A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96F0C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64E" w14:textId="77777777" w:rsidR="00BF2237" w:rsidRPr="0027782B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5D6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4BEF7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F58E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90B19C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94A4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B05" w14:textId="77777777" w:rsidR="00BF2237" w:rsidRPr="00823A4D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strike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strike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  <w:p w14:paraId="00F2F995" w14:textId="4CB59FAF" w:rsidR="00823A4D" w:rsidRPr="00823A4D" w:rsidRDefault="00823A4D" w:rsidP="00823A4D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color w:val="FF0000"/>
                <w:sz w:val="20"/>
                <w:szCs w:val="20"/>
              </w:rPr>
              <w:t>„Wymiana podzespołu na nowy – po 3 nieskutecznych próbach jego naprawy”.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BB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6BDDC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AFC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6E189E0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79C64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604D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27782B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27782B">
              <w:rPr>
                <w:rFonts w:ascii="Garamond" w:hAnsi="Garamond"/>
                <w:sz w:val="20"/>
                <w:szCs w:val="20"/>
              </w:rPr>
              <w:t>10</w:t>
            </w:r>
            <w:r w:rsidRPr="0027782B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37C0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5890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C2CB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E56BB17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2E91A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68C7" w14:textId="77777777" w:rsidR="00BF2237" w:rsidRPr="0027782B" w:rsidRDefault="00BF2237" w:rsidP="0027782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E6E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7200C9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C503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823A4D" w14:paraId="4F6477AC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42146" w14:textId="77777777" w:rsidR="00BF2237" w:rsidRPr="00823A4D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9AE9" w14:textId="77777777" w:rsidR="00BF2237" w:rsidRPr="00823A4D" w:rsidRDefault="00BF2237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  <w:p w14:paraId="368D2B95" w14:textId="41AD557D" w:rsidR="00823A4D" w:rsidRPr="00823A4D" w:rsidRDefault="00823A4D" w:rsidP="0027782B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2F6" w14:textId="77777777" w:rsidR="00BF2237" w:rsidRPr="00823A4D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31BCE" w14:textId="77777777" w:rsidR="00BF2237" w:rsidRPr="00823A4D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9205" w14:textId="77777777" w:rsidR="00BF2237" w:rsidRPr="00823A4D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D9952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FE1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EC25" w14:textId="77777777" w:rsidR="00BF2237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SZKOLENIA</w:t>
            </w:r>
          </w:p>
          <w:p w14:paraId="3BEAD908" w14:textId="77777777" w:rsidR="00F21473" w:rsidRDefault="00F21473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</w:p>
          <w:p w14:paraId="7F8F45F5" w14:textId="488FB6D7" w:rsidR="00F21473" w:rsidRPr="00F21473" w:rsidRDefault="00F21473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F21473">
              <w:rPr>
                <w:rFonts w:ascii="Garamond" w:hAnsi="Garamond"/>
                <w:bCs/>
                <w:i/>
                <w:color w:val="FF0000"/>
                <w:sz w:val="20"/>
                <w:szCs w:val="20"/>
              </w:rPr>
              <w:t xml:space="preserve">Uwaga - </w:t>
            </w:r>
            <w:r w:rsidRPr="00F21473">
              <w:rPr>
                <w:rFonts w:ascii="Garamond" w:hAnsi="Garamond"/>
                <w:i/>
                <w:color w:val="FF0000"/>
                <w:sz w:val="20"/>
                <w:szCs w:val="20"/>
              </w:rPr>
              <w:t>Zamawiający dopuszcza wykonanie części szkoleń w trybie zdalnym, w przypadku braku możliwości przemieszczania się oraz potwierdza, że we własnym zakresie sfinansuje koszty podróży i zakwaterowania pracowników szkolonych w ośrodku klinicznym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6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8A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D54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6960F3AA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408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D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27782B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27782B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658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5A8C4B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EA6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2B074CE0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0ABD5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D38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06D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2D73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93A1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36B9ACE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CE87E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0FAD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15363AE3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5C7DE48A" w14:textId="77777777" w:rsidR="00BF2237" w:rsidRPr="0027782B" w:rsidRDefault="00BF2237" w:rsidP="002A27B7">
            <w:pPr>
              <w:numPr>
                <w:ilvl w:val="0"/>
                <w:numId w:val="5"/>
              </w:numPr>
              <w:tabs>
                <w:tab w:val="clear" w:pos="360"/>
              </w:tabs>
              <w:spacing w:after="0" w:line="288" w:lineRule="auto"/>
              <w:ind w:left="174" w:hanging="174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4B5664F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DF49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DCAD4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CB72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7782B" w:rsidRPr="0027782B" w14:paraId="120E0D89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EF1B5" w14:textId="77777777" w:rsidR="00EB395E" w:rsidRPr="0027782B" w:rsidRDefault="00EB395E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EBC4" w14:textId="6B778998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Szkolenie ze znajomości środowiska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RayStation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do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oka w wymiarze 2 dni roboczych dla min </w:t>
            </w:r>
            <w:r w:rsidR="00B16927" w:rsidRPr="00F21473">
              <w:rPr>
                <w:rFonts w:ascii="Garamond" w:hAnsi="Garamond"/>
                <w:strike/>
                <w:sz w:val="20"/>
                <w:szCs w:val="20"/>
              </w:rPr>
              <w:t>12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osób.  </w:t>
            </w:r>
          </w:p>
          <w:p w14:paraId="44DFC252" w14:textId="2D355812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Szkolenie z planowania leczenia metodą </w:t>
            </w:r>
            <w:proofErr w:type="spellStart"/>
            <w:r w:rsidRPr="00F21473">
              <w:rPr>
                <w:rFonts w:ascii="Garamond" w:hAnsi="Garamond"/>
                <w:strike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oka:</w:t>
            </w:r>
          </w:p>
          <w:p w14:paraId="728075D7" w14:textId="13362C64" w:rsidR="00EB395E" w:rsidRPr="00F21473" w:rsidRDefault="00EB395E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lekarze okuliści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2 tygodnie </w:t>
            </w:r>
            <w:r w:rsidR="00F840C0" w:rsidRPr="00F21473">
              <w:rPr>
                <w:rFonts w:ascii="Garamond" w:hAnsi="Garamond"/>
                <w:strike/>
                <w:sz w:val="20"/>
                <w:szCs w:val="20"/>
              </w:rPr>
              <w:t xml:space="preserve">w 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wymiarze 10 dni roboczych </w:t>
            </w:r>
            <w:r w:rsidR="00F840C0" w:rsidRPr="00F21473">
              <w:rPr>
                <w:rFonts w:ascii="Garamond" w:hAnsi="Garamond"/>
                <w:strike/>
                <w:sz w:val="20"/>
                <w:szCs w:val="20"/>
              </w:rPr>
              <w:t>min. 4 osoby</w:t>
            </w:r>
          </w:p>
          <w:p w14:paraId="37BE580B" w14:textId="2051ADC1" w:rsidR="00F840C0" w:rsidRPr="00F21473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lekarze radioterapeuci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2 tygodnie w wymiarze 10 dni roboczych min. 4 osoby</w:t>
            </w:r>
          </w:p>
          <w:p w14:paraId="23D6F49F" w14:textId="77777777" w:rsidR="00EB395E" w:rsidRPr="00F21473" w:rsidRDefault="00F840C0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trike/>
                <w:sz w:val="20"/>
                <w:szCs w:val="20"/>
              </w:rPr>
            </w:pPr>
            <w:r w:rsidRPr="00F21473">
              <w:rPr>
                <w:rFonts w:ascii="Garamond" w:hAnsi="Garamond"/>
                <w:strike/>
                <w:sz w:val="20"/>
                <w:szCs w:val="20"/>
              </w:rPr>
              <w:t>- fizycy medyczni</w:t>
            </w:r>
            <w:r w:rsidR="001631D7" w:rsidRPr="00F21473">
              <w:rPr>
                <w:rFonts w:ascii="Garamond" w:hAnsi="Garamond"/>
                <w:strike/>
                <w:sz w:val="20"/>
                <w:szCs w:val="20"/>
              </w:rPr>
              <w:t>:</w:t>
            </w:r>
            <w:r w:rsidRPr="00F21473">
              <w:rPr>
                <w:rFonts w:ascii="Garamond" w:hAnsi="Garamond"/>
                <w:strike/>
                <w:sz w:val="20"/>
                <w:szCs w:val="20"/>
              </w:rPr>
              <w:t xml:space="preserve"> 4 tygodnie w wymiarze 20 dni roboczych min. 4 osoby, w dwóch ośrodkach referencyjnych (po 2 tygodnie każdy). </w:t>
            </w:r>
          </w:p>
          <w:p w14:paraId="49060A06" w14:textId="77777777" w:rsidR="00F21473" w:rsidRDefault="00F21473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</w:p>
          <w:p w14:paraId="07BB7295" w14:textId="6B970AD2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Szkolenie z planowania leczenia metodą </w:t>
            </w:r>
            <w:proofErr w:type="spellStart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 oka:</w:t>
            </w:r>
          </w:p>
          <w:p w14:paraId="3D276EE8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lekarze okuliści: 2 dni dla min. 4 osób</w:t>
            </w:r>
          </w:p>
          <w:p w14:paraId="2CD69DA3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- lekarze radioterapeuci: 2 dni dla min. 4 osób</w:t>
            </w:r>
          </w:p>
          <w:p w14:paraId="406A4A82" w14:textId="77777777" w:rsidR="00F21473" w:rsidRPr="00F21473" w:rsidRDefault="00F21473" w:rsidP="00F21473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- fizycy medyczni: 1 tydzień w wymiarze 5 dni roboczych min. 4 osoby, w ośrodku </w:t>
            </w:r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lastRenderedPageBreak/>
              <w:t xml:space="preserve">klinicznie wykorzystującym oferowane oprogramowanie do </w:t>
            </w:r>
            <w:proofErr w:type="spellStart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>protonoterapii</w:t>
            </w:r>
            <w:proofErr w:type="spellEnd"/>
            <w:r w:rsidRPr="00F21473">
              <w:rPr>
                <w:rFonts w:ascii="Garamond" w:hAnsi="Garamond"/>
                <w:color w:val="FF0000"/>
                <w:sz w:val="20"/>
                <w:szCs w:val="20"/>
              </w:rPr>
              <w:t xml:space="preserve"> oka.</w:t>
            </w:r>
          </w:p>
          <w:p w14:paraId="167B5E22" w14:textId="0873440B" w:rsidR="00F21473" w:rsidRPr="0027782B" w:rsidRDefault="00F21473" w:rsidP="0027782B">
            <w:pPr>
              <w:pStyle w:val="NormalnyWeb"/>
              <w:shd w:val="clear" w:color="auto" w:fill="FFFFFF"/>
              <w:spacing w:before="0" w:beforeAutospacing="0" w:after="0" w:afterAutospacing="0" w:line="288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CBB" w14:textId="77777777" w:rsidR="00EB395E" w:rsidRPr="0027782B" w:rsidRDefault="00EB395E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1542" w14:textId="77777777" w:rsidR="00EB395E" w:rsidRPr="0027782B" w:rsidRDefault="00EB395E" w:rsidP="00F21473">
            <w:pPr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6F13" w14:textId="77777777" w:rsidR="00EB395E" w:rsidRPr="0027782B" w:rsidRDefault="00EB395E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F2237" w:rsidRPr="0027782B" w14:paraId="0DD959D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079E" w14:textId="77777777" w:rsidR="00BF2237" w:rsidRPr="0027782B" w:rsidRDefault="00BF2237" w:rsidP="0027782B">
            <w:pPr>
              <w:suppressAutoHyphens/>
              <w:autoSpaceDN w:val="0"/>
              <w:spacing w:after="0" w:line="288" w:lineRule="auto"/>
              <w:ind w:left="502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E8E0" w14:textId="77777777" w:rsidR="00BF2237" w:rsidRPr="0027782B" w:rsidRDefault="00BF2237" w:rsidP="0003032D">
            <w:pPr>
              <w:widowControl w:val="0"/>
              <w:suppressAutoHyphens/>
              <w:snapToGrid w:val="0"/>
              <w:spacing w:after="0" w:line="288" w:lineRule="auto"/>
              <w:rPr>
                <w:rFonts w:ascii="Garamond" w:hAnsi="Garamond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738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589420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ED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</w:tr>
      <w:tr w:rsidR="00BF2237" w:rsidRPr="0027782B" w14:paraId="2CCAC17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5F1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0AF1" w14:textId="77777777" w:rsidR="00BF2237" w:rsidRPr="0027782B" w:rsidRDefault="00BF2237" w:rsidP="0027782B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A1DB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2F346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8E0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39B2C82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CD608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F0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148A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9D2CA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755D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73172171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721C9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FC75" w14:textId="77777777" w:rsidR="00BF2237" w:rsidRPr="0027782B" w:rsidRDefault="00BF2237" w:rsidP="0027782B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E8CBF36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68F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87ABE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93C7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0C689B4F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AD85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DC2" w14:textId="77777777" w:rsidR="00BF2237" w:rsidRPr="0027782B" w:rsidRDefault="00BF2237" w:rsidP="0027782B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E1DC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64B4D3" w14:textId="77777777" w:rsidR="00BF2237" w:rsidRPr="0027782B" w:rsidRDefault="00BF2237" w:rsidP="0027782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E5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4BEFC348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AEE4F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08D" w14:textId="77777777" w:rsidR="00BF2237" w:rsidRPr="0027782B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F5F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5FAA9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F57F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BF2237" w:rsidRPr="0027782B" w14:paraId="1BC51764" w14:textId="77777777" w:rsidTr="00C43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37932" w14:textId="77777777" w:rsidR="00BF2237" w:rsidRPr="0027782B" w:rsidRDefault="00BF2237" w:rsidP="0027782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5D6A" w14:textId="77777777" w:rsidR="00BF2237" w:rsidRPr="0027782B" w:rsidRDefault="00BF2237" w:rsidP="0027782B">
            <w:pPr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3D1F13B" w14:textId="77777777" w:rsidR="00BF2237" w:rsidRDefault="00BF2237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27782B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  <w:p w14:paraId="142574B7" w14:textId="131F438E" w:rsidR="007B3A67" w:rsidRPr="007B3A67" w:rsidRDefault="00823A4D" w:rsidP="0027782B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FF0000"/>
                <w:sz w:val="20"/>
                <w:szCs w:val="20"/>
                <w:lang w:eastAsia="ar-SA"/>
              </w:rPr>
            </w:pPr>
            <w:r w:rsidRPr="00823A4D">
              <w:rPr>
                <w:rFonts w:ascii="Garamond" w:hAnsi="Garamond"/>
                <w:i/>
                <w:color w:val="FF0000"/>
                <w:sz w:val="20"/>
                <w:szCs w:val="20"/>
              </w:rPr>
              <w:t>UWAGA – deklaracja dotyczy wyłącznie wyrobów opisanych w pkt. 19-21</w:t>
            </w:r>
            <w:r>
              <w:rPr>
                <w:rFonts w:ascii="Garamond" w:hAnsi="Garamond"/>
                <w:i/>
                <w:color w:val="FF0000"/>
                <w:sz w:val="20"/>
                <w:szCs w:val="20"/>
              </w:rPr>
              <w:t xml:space="preserve"> rozdziału „parametry techniczne i eksploatacyjne”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55B6" w14:textId="77777777" w:rsidR="00BF2237" w:rsidRPr="0027782B" w:rsidRDefault="00BF2237" w:rsidP="0027782B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14210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D166" w14:textId="77777777" w:rsidR="00BF2237" w:rsidRPr="0027782B" w:rsidRDefault="00BF2237" w:rsidP="0027782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27782B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31F08EE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8A675BF" w14:textId="77777777" w:rsidR="00BF2237" w:rsidRPr="0027782B" w:rsidRDefault="00BF2237" w:rsidP="0027782B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4FFC76C" w14:textId="77777777" w:rsidR="000F15DB" w:rsidRPr="0027782B" w:rsidRDefault="000F15DB" w:rsidP="0027782B">
      <w:pPr>
        <w:spacing w:line="288" w:lineRule="auto"/>
        <w:rPr>
          <w:rFonts w:ascii="Garamond" w:hAnsi="Garamond"/>
        </w:rPr>
      </w:pPr>
    </w:p>
    <w:sectPr w:rsidR="000F15DB" w:rsidRPr="0027782B" w:rsidSect="0003032D">
      <w:headerReference w:type="default" r:id="rId8"/>
      <w:pgSz w:w="16838" w:h="11906" w:orient="landscape"/>
      <w:pgMar w:top="17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EF2CE" w14:textId="77777777" w:rsidR="006B0BE8" w:rsidRDefault="006B0BE8" w:rsidP="00DB7B4C">
      <w:pPr>
        <w:spacing w:after="0" w:line="240" w:lineRule="auto"/>
      </w:pPr>
      <w:r>
        <w:separator/>
      </w:r>
    </w:p>
  </w:endnote>
  <w:endnote w:type="continuationSeparator" w:id="0">
    <w:p w14:paraId="28534AB3" w14:textId="77777777" w:rsidR="006B0BE8" w:rsidRDefault="006B0BE8" w:rsidP="00D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2A514" w14:textId="77777777" w:rsidR="006B0BE8" w:rsidRDefault="006B0BE8" w:rsidP="00DB7B4C">
      <w:pPr>
        <w:spacing w:after="0" w:line="240" w:lineRule="auto"/>
      </w:pPr>
      <w:r>
        <w:separator/>
      </w:r>
    </w:p>
  </w:footnote>
  <w:footnote w:type="continuationSeparator" w:id="0">
    <w:p w14:paraId="0511D4E2" w14:textId="77777777" w:rsidR="006B0BE8" w:rsidRDefault="006B0BE8" w:rsidP="00D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FB89" w14:textId="2FE28F56" w:rsidR="00DB7B4C" w:rsidRPr="003B1764" w:rsidRDefault="00DB7B4C" w:rsidP="00DB7B4C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color w:val="000000"/>
        <w:lang w:eastAsia="pl-PL" w:bidi="hi-IN"/>
      </w:rPr>
    </w:pPr>
    <w:r>
      <w:rPr>
        <w:rFonts w:ascii="Garamond" w:eastAsia="Times New Roman" w:hAnsi="Garamond"/>
        <w:color w:val="000000"/>
        <w:lang w:eastAsia="pl-PL" w:bidi="hi-IN"/>
      </w:rPr>
      <w:t>DFP.271.125.2021.AB</w:t>
    </w:r>
  </w:p>
  <w:p w14:paraId="351065FA" w14:textId="77777777" w:rsidR="00DB7B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 xml:space="preserve">Załącznik nr 1a do </w:t>
    </w:r>
    <w:r>
      <w:rPr>
        <w:rFonts w:ascii="Garamond" w:eastAsia="Times New Roman" w:hAnsi="Garamond"/>
        <w:lang w:eastAsia="pl-PL"/>
      </w:rPr>
      <w:t>SWZ</w:t>
    </w:r>
  </w:p>
  <w:p w14:paraId="5124EBEE" w14:textId="77777777" w:rsidR="00DB7B4C" w:rsidRPr="00CB4E4C" w:rsidRDefault="00DB7B4C" w:rsidP="00DB7B4C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10664949"/>
    <w:multiLevelType w:val="hybridMultilevel"/>
    <w:tmpl w:val="AF90D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5D1D"/>
    <w:multiLevelType w:val="hybridMultilevel"/>
    <w:tmpl w:val="BF489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27DC"/>
    <w:multiLevelType w:val="hybridMultilevel"/>
    <w:tmpl w:val="DA70B9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A37AEE"/>
    <w:multiLevelType w:val="hybridMultilevel"/>
    <w:tmpl w:val="A7889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775582"/>
    <w:multiLevelType w:val="hybridMultilevel"/>
    <w:tmpl w:val="88328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860B09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42F76"/>
    <w:multiLevelType w:val="hybridMultilevel"/>
    <w:tmpl w:val="22B4D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10"/>
    <w:rsid w:val="0003032D"/>
    <w:rsid w:val="00076D20"/>
    <w:rsid w:val="000B19CA"/>
    <w:rsid w:val="000E2E0A"/>
    <w:rsid w:val="000F15DB"/>
    <w:rsid w:val="00142731"/>
    <w:rsid w:val="001631D7"/>
    <w:rsid w:val="0024269A"/>
    <w:rsid w:val="00256968"/>
    <w:rsid w:val="0027782B"/>
    <w:rsid w:val="002A27B7"/>
    <w:rsid w:val="002C3160"/>
    <w:rsid w:val="002F0847"/>
    <w:rsid w:val="00375A80"/>
    <w:rsid w:val="00476177"/>
    <w:rsid w:val="004D727A"/>
    <w:rsid w:val="004F1CD6"/>
    <w:rsid w:val="005954E5"/>
    <w:rsid w:val="005C1A45"/>
    <w:rsid w:val="005C5EC0"/>
    <w:rsid w:val="005F7F44"/>
    <w:rsid w:val="00610A8D"/>
    <w:rsid w:val="006B0BE8"/>
    <w:rsid w:val="006D7CBD"/>
    <w:rsid w:val="00787E84"/>
    <w:rsid w:val="00795AE2"/>
    <w:rsid w:val="007B3A67"/>
    <w:rsid w:val="00813FA3"/>
    <w:rsid w:val="00820BAA"/>
    <w:rsid w:val="00823A4D"/>
    <w:rsid w:val="00840921"/>
    <w:rsid w:val="00844122"/>
    <w:rsid w:val="008C180C"/>
    <w:rsid w:val="008D393E"/>
    <w:rsid w:val="00906B33"/>
    <w:rsid w:val="00943E51"/>
    <w:rsid w:val="00955D10"/>
    <w:rsid w:val="00965A21"/>
    <w:rsid w:val="00982A39"/>
    <w:rsid w:val="009A2D2E"/>
    <w:rsid w:val="009A5CB3"/>
    <w:rsid w:val="009B65AE"/>
    <w:rsid w:val="009E1BD0"/>
    <w:rsid w:val="00AB3A82"/>
    <w:rsid w:val="00AE5D82"/>
    <w:rsid w:val="00B16927"/>
    <w:rsid w:val="00B5169C"/>
    <w:rsid w:val="00B823B6"/>
    <w:rsid w:val="00B9156D"/>
    <w:rsid w:val="00BD6910"/>
    <w:rsid w:val="00BF2237"/>
    <w:rsid w:val="00BF4A04"/>
    <w:rsid w:val="00C43E5B"/>
    <w:rsid w:val="00C56A42"/>
    <w:rsid w:val="00C90171"/>
    <w:rsid w:val="00D85706"/>
    <w:rsid w:val="00DB7B4C"/>
    <w:rsid w:val="00E01AB0"/>
    <w:rsid w:val="00E04433"/>
    <w:rsid w:val="00EB395E"/>
    <w:rsid w:val="00EC0041"/>
    <w:rsid w:val="00ED5426"/>
    <w:rsid w:val="00F21473"/>
    <w:rsid w:val="00F840C0"/>
    <w:rsid w:val="00FB140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6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F2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2237"/>
    <w:rPr>
      <w:rFonts w:ascii="Calibri" w:eastAsia="Calibri" w:hAnsi="Calibri" w:cs="Times New Roman"/>
    </w:rPr>
  </w:style>
  <w:style w:type="paragraph" w:customStyle="1" w:styleId="Default">
    <w:name w:val="Default"/>
    <w:rsid w:val="00BF22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bsatzTableFormat">
    <w:name w:val="AbsatzTableFormat"/>
    <w:basedOn w:val="Normalny"/>
    <w:rsid w:val="00BF2237"/>
    <w:pPr>
      <w:spacing w:after="0" w:line="240" w:lineRule="auto"/>
    </w:pPr>
    <w:rPr>
      <w:rFonts w:ascii="Times New Roman" w:eastAsia="Times New Roman" w:hAnsi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F2237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8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A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A3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2A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F22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BF2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F2237"/>
    <w:rPr>
      <w:rFonts w:ascii="Calibri" w:eastAsia="Calibri" w:hAnsi="Calibri" w:cs="Times New Roman"/>
    </w:rPr>
  </w:style>
  <w:style w:type="paragraph" w:customStyle="1" w:styleId="Default">
    <w:name w:val="Default"/>
    <w:rsid w:val="00BF22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bsatzTableFormat">
    <w:name w:val="AbsatzTableFormat"/>
    <w:basedOn w:val="Normalny"/>
    <w:rsid w:val="00BF2237"/>
    <w:pPr>
      <w:spacing w:after="0" w:line="240" w:lineRule="auto"/>
    </w:pPr>
    <w:rPr>
      <w:rFonts w:ascii="Times New Roman" w:eastAsia="Times New Roman" w:hAnsi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F2237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EB3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8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2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A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A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A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A39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2A3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A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1954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darek</cp:lastModifiedBy>
  <cp:revision>3</cp:revision>
  <cp:lastPrinted>2021-12-01T08:58:00Z</cp:lastPrinted>
  <dcterms:created xsi:type="dcterms:W3CDTF">2022-01-10T19:52:00Z</dcterms:created>
  <dcterms:modified xsi:type="dcterms:W3CDTF">2022-01-10T20:05:00Z</dcterms:modified>
</cp:coreProperties>
</file>