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8E" w:rsidRDefault="00680E8E" w:rsidP="00680E8E">
      <w:pPr>
        <w:pStyle w:val="Tytu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p w:rsidR="00A94CAE" w:rsidRDefault="00344E5F" w:rsidP="00344E5F">
      <w:pPr>
        <w:widowControl/>
        <w:autoSpaceDE/>
        <w:autoSpaceDN w:val="0"/>
        <w:jc w:val="center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b/>
          <w:kern w:val="3"/>
          <w:sz w:val="20"/>
          <w:lang w:eastAsia="zh-CN"/>
        </w:rPr>
        <w:t>Dostawa, instal</w:t>
      </w:r>
      <w:r w:rsidR="00A94CAE">
        <w:rPr>
          <w:rFonts w:ascii="Century Gothic" w:hAnsi="Century Gothic" w:cs="Times New Roman"/>
          <w:b/>
          <w:kern w:val="3"/>
          <w:sz w:val="20"/>
          <w:lang w:eastAsia="zh-CN"/>
        </w:rPr>
        <w:t xml:space="preserve">acja i uruchomienie </w:t>
      </w:r>
    </w:p>
    <w:p w:rsidR="00344E5F" w:rsidRPr="00344E5F" w:rsidRDefault="00A94CAE" w:rsidP="00344E5F">
      <w:pPr>
        <w:widowControl/>
        <w:autoSpaceDE/>
        <w:autoSpaceDN w:val="0"/>
        <w:jc w:val="center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  <w:r>
        <w:rPr>
          <w:rFonts w:ascii="Century Gothic" w:hAnsi="Century Gothic" w:cs="Times New Roman"/>
          <w:b/>
          <w:kern w:val="3"/>
          <w:sz w:val="20"/>
          <w:lang w:eastAsia="zh-CN"/>
        </w:rPr>
        <w:t>zaawansowanego</w:t>
      </w:r>
      <w:r w:rsidR="00344E5F" w:rsidRPr="00344E5F">
        <w:rPr>
          <w:rFonts w:ascii="Century Gothic" w:hAnsi="Century Gothic" w:cs="Times New Roman"/>
          <w:b/>
          <w:kern w:val="3"/>
          <w:sz w:val="20"/>
          <w:lang w:eastAsia="zh-CN"/>
        </w:rPr>
        <w:t xml:space="preserve"> aparat</w:t>
      </w:r>
      <w:r>
        <w:rPr>
          <w:rFonts w:ascii="Century Gothic" w:hAnsi="Century Gothic" w:cs="Times New Roman"/>
          <w:b/>
          <w:kern w:val="3"/>
          <w:sz w:val="20"/>
          <w:lang w:eastAsia="zh-CN"/>
        </w:rPr>
        <w:t>u ultrasonograficznego</w:t>
      </w:r>
      <w:r w:rsidR="0028652B">
        <w:rPr>
          <w:rFonts w:ascii="Century Gothic" w:hAnsi="Century Gothic" w:cs="Times New Roman"/>
          <w:b/>
          <w:kern w:val="3"/>
          <w:sz w:val="20"/>
          <w:lang w:eastAsia="zh-CN"/>
        </w:rPr>
        <w:t>,</w:t>
      </w:r>
      <w:r>
        <w:rPr>
          <w:rFonts w:ascii="Century Gothic" w:hAnsi="Century Gothic" w:cs="Times New Roman"/>
          <w:b/>
          <w:kern w:val="3"/>
          <w:sz w:val="20"/>
          <w:lang w:eastAsia="zh-CN"/>
        </w:rPr>
        <w:t xml:space="preserve"> umożliwiającego </w:t>
      </w:r>
      <w:r w:rsidR="00344E5F" w:rsidRPr="00344E5F">
        <w:rPr>
          <w:rFonts w:ascii="Century Gothic" w:hAnsi="Century Gothic" w:cs="Times New Roman"/>
          <w:b/>
          <w:kern w:val="3"/>
          <w:sz w:val="20"/>
          <w:lang w:eastAsia="zh-CN"/>
        </w:rPr>
        <w:t>diagnostykę ofiar najcięższych wypadków (1 szt.)</w:t>
      </w: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Uwagi i objaśnienia: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</w:p>
    <w:p w:rsidR="00344E5F" w:rsidRPr="00344E5F" w:rsidRDefault="00344E5F" w:rsidP="00344E5F">
      <w:pPr>
        <w:widowControl/>
        <w:numPr>
          <w:ilvl w:val="0"/>
          <w:numId w:val="7"/>
        </w:numPr>
        <w:autoSpaceDE/>
        <w:autoSpaceDN w:val="0"/>
        <w:jc w:val="both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44E5F" w:rsidRPr="00344E5F" w:rsidRDefault="00344E5F" w:rsidP="00344E5F">
      <w:pPr>
        <w:widowControl/>
        <w:numPr>
          <w:ilvl w:val="0"/>
          <w:numId w:val="2"/>
        </w:numPr>
        <w:autoSpaceDE/>
        <w:autoSpaceDN w:val="0"/>
        <w:jc w:val="both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44E5F" w:rsidRPr="00344E5F" w:rsidRDefault="00344E5F" w:rsidP="00344E5F">
      <w:pPr>
        <w:widowControl/>
        <w:numPr>
          <w:ilvl w:val="0"/>
          <w:numId w:val="2"/>
        </w:numPr>
        <w:autoSpaceDE/>
        <w:autoSpaceDN w:val="0"/>
        <w:jc w:val="both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Wykonawca zobowiązany jest do podania parametrów w jednostkach wskazanych w niniejszym opisie.</w:t>
      </w:r>
    </w:p>
    <w:p w:rsidR="00344E5F" w:rsidRPr="00344E5F" w:rsidRDefault="00344E5F" w:rsidP="00344E5F">
      <w:pPr>
        <w:widowControl/>
        <w:numPr>
          <w:ilvl w:val="0"/>
          <w:numId w:val="2"/>
        </w:numPr>
        <w:autoSpaceDE/>
        <w:autoSpaceDN w:val="0"/>
        <w:jc w:val="both"/>
        <w:textAlignment w:val="baseline"/>
        <w:rPr>
          <w:rFonts w:ascii="Century Gothic" w:hAnsi="Century Gothic" w:cs="Times New Roman"/>
          <w:kern w:val="3"/>
          <w:sz w:val="18"/>
          <w:szCs w:val="18"/>
          <w:lang w:eastAsia="zh-CN"/>
        </w:rPr>
      </w:pPr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 xml:space="preserve">Wykonawca gwarantuje niniejszym, że sprzęt jest fabrycznie nowy (rok produkcji: nie wcześniej niż.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rekondycjonowanym</w:t>
      </w:r>
      <w:proofErr w:type="spellEnd"/>
      <w:r w:rsidRPr="00344E5F">
        <w:rPr>
          <w:rFonts w:ascii="Century Gothic" w:hAnsi="Century Gothic" w:cs="Times New Roman"/>
          <w:kern w:val="3"/>
          <w:sz w:val="18"/>
          <w:szCs w:val="18"/>
          <w:lang w:eastAsia="zh-CN"/>
        </w:rPr>
        <w:t>, powystawowym i nie był wykorzystywany wcześniej przez innego użytkownika.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kern w:val="3"/>
          <w:sz w:val="20"/>
          <w:lang w:eastAsia="zh-CN"/>
        </w:rPr>
        <w:t>Nazwa i typ: .............................................................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kern w:val="3"/>
          <w:sz w:val="20"/>
          <w:lang w:eastAsia="zh-CN"/>
        </w:rPr>
        <w:t>Producent: ........................................................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kern w:val="3"/>
          <w:sz w:val="20"/>
          <w:lang w:eastAsia="zh-CN"/>
        </w:rPr>
        <w:t>Kraj produkcji: ................................................................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kern w:val="3"/>
          <w:sz w:val="20"/>
          <w:lang w:eastAsia="zh-CN"/>
        </w:rPr>
        <w:t>Rok produkcji (min. 2018): …..............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kern w:val="3"/>
          <w:sz w:val="20"/>
          <w:lang w:eastAsia="zh-CN"/>
        </w:rPr>
        <w:t>Klasa wyrobu medycznego: ..................</w:t>
      </w: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p w:rsid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  <w:r w:rsidRPr="00344E5F">
        <w:rPr>
          <w:rFonts w:ascii="Century Gothic" w:hAnsi="Century Gothic" w:cs="Times New Roman"/>
          <w:b/>
          <w:kern w:val="3"/>
          <w:sz w:val="20"/>
          <w:lang w:eastAsia="zh-CN"/>
        </w:rPr>
        <w:t>Parametry techniczne i eksploatacyjne</w:t>
      </w:r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tbl>
      <w:tblPr>
        <w:tblW w:w="515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"/>
        <w:gridCol w:w="5811"/>
        <w:gridCol w:w="1986"/>
        <w:gridCol w:w="4110"/>
        <w:gridCol w:w="2128"/>
      </w:tblGrid>
      <w:tr w:rsidR="00344E5F" w:rsidRPr="00344E5F" w:rsidTr="00941874">
        <w:tc>
          <w:tcPr>
            <w:tcW w:w="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l.p.</w:t>
            </w:r>
          </w:p>
        </w:tc>
        <w:tc>
          <w:tcPr>
            <w:tcW w:w="200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</w:t>
            </w:r>
          </w:p>
        </w:tc>
        <w:tc>
          <w:tcPr>
            <w:tcW w:w="6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 wymagany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 oferowany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Sposób oceny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426D92">
            <w:pPr>
              <w:keepNext/>
              <w:widowControl/>
              <w:autoSpaceDE/>
              <w:autoSpaceDN w:val="0"/>
              <w:textAlignment w:val="baseline"/>
              <w:outlineLvl w:val="1"/>
              <w:rPr>
                <w:rFonts w:ascii="Century Gothic" w:hAnsi="Century Gothic" w:cs="Times New Roman"/>
                <w:b/>
                <w:i/>
                <w:iCs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b/>
                <w:i/>
                <w:iCs/>
                <w:kern w:val="3"/>
                <w:sz w:val="20"/>
                <w:lang w:eastAsia="zh-CN"/>
              </w:rPr>
              <w:t>JEDNOSTKA GŁÓWNA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426D92">
            <w:pPr>
              <w:keepNext/>
              <w:widowControl/>
              <w:autoSpaceDE/>
              <w:autoSpaceDN w:val="0"/>
              <w:textAlignment w:val="baseline"/>
              <w:outlineLvl w:val="1"/>
              <w:rPr>
                <w:rFonts w:ascii="Century Gothic" w:hAnsi="Century Gothic" w:cs="Times New Roman"/>
                <w:b/>
                <w:i/>
                <w:iCs/>
                <w:kern w:val="3"/>
                <w:sz w:val="20"/>
                <w:lang w:eastAsia="zh-CN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eastAsia="GulimChe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eastAsia="GulimChe" w:hAnsi="Century Gothic" w:cs="Arial"/>
                <w:sz w:val="20"/>
                <w:lang w:eastAsia="pl-PL"/>
              </w:rPr>
              <w:t xml:space="preserve">Przenośny  aparat  ultrasonograficzny  z pełną regulacją w formie panelu dotykowego wraz ze stolikiem jezdnym. 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GulimChe" w:hAnsi="Century Gothic" w:cs="Arial"/>
                <w:strike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  <w:t>Stolik  jezdny: 4 koła skrętne, z możliwością blokady min. 2, ze zmianą wysokością min. 20 cm, wyposażony w półki na akcesoria, oraz zasilacz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strike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  <w:t>Aparat fabrycznie nowy, rok produkcji 2018.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Zakres pasma częstotliwości pracy aparatu zdefiniowany pasmem częstotliwości pracy głowic pracujących z aparatem: </w:t>
            </w: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br/>
              <w:t>min. 2 - 20 MHz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Waga  max. 7 kg bez stolika.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GulimCh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Aparat przenośny z możliwością pracy z akumulatora. Czas pracy z w pełni naładowanego akumulatora min. 2 godz.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Ilość gniazd głowic obrazowych przełączanych elektronicznie min. 3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Gotowość do pracy po włączeniu aparatu ze stanu całkowitego wyłączenia max. 30 sek.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Gotowość do pracy po włączeniu aparatu ze stanu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lastRenderedPageBreak/>
              <w:t>standby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max. 5 sek.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lastRenderedPageBreak/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Ilość niezależnych kanałów procesowych min. 50 000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  <w:r w:rsidR="00DD0821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Moduł edukacyjny który podaje użytkownikowi wskazówki w formie graficznej dotyczące: właściwego ułożenia sondy diagnostycznej, pożądanego obrazu ultrasonograficznego, wzorcowego obrazu anatomicznego z jednoczesną możliwością podglądu obrazu na żywo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bCs/>
                <w:sz w:val="20"/>
                <w:lang w:eastAsia="pl-PL"/>
              </w:rPr>
              <w:t>ARCHIWIZACJA I PRZESYŁANIE OBRAZÓW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Nagrywanie i odtwarzanie dynamicznych obrazów /tzw.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cine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loop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prezentacji B oraz kolor Doppler, prezentacji M-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i Dopplera spektralnego 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Ilość klatek pamięci CINE min. 25 000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  <w:r w:rsidR="00DD0821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Zapis obrazów i raportów z badań na pamięci wewnętrznej aparatu.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Pojemność dysku twardego SSD min. 120 GB 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strike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Możliwość archiwizacji danych pacjenta z przypisanymi obrazami statycznymi i dynamicznymi wraz z możliwością eksportu danych w trybach: TIFF, BMP, JPG, AVI.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strike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Gniazda USB 3.0 do podłączania urządzeń zewnętrznych min. 3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Wyjście HDMI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Możliwość ustawienia menu w języku polskim i polskie znaki w opisach oraz komentarzach do raportu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Możliwość zapisu danych na urządzenia typu PEN-DRIVE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Bezprzewodowa łączność z siecią za pomocą wewnętrznej karty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Wi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-Fi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sz w:val="20"/>
                <w:lang w:eastAsia="pl-PL"/>
              </w:rPr>
              <w:t>MONITOR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Kolorowy typu LCD w pełni dotykowy.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Przekątna ekranu min. 15" (podać)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Rozdzielczość monitora min. 760 x 1020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Regulacja parametrów obrazowania i pozostała obsługa na ekranie monitora (aparat typu tablet - bez pulpitu operatora)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sz w:val="20"/>
                <w:lang w:eastAsia="pl-PL"/>
              </w:rPr>
              <w:t>TRYBY OBRAZOWANIA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rPr>
          <w:trHeight w:val="222"/>
        </w:trPr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 xml:space="preserve">Tryb B -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Powiększenie obrazu rzeczywistego i zamrożonego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Powiększenie obrazu diagnostycznego na pełny ekran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Obrazowanie harmoniczne na wszystkich oferowanych głowicach z wykorzystaniem przesunięcia lub inwersji faz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Technologia wzmocnienia kontrastu tkanek oraz zmniejszenia plamek i wyostrzenia krawędzi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Przestrzenne składanie obrazów (obrazowanie wielokierunkowe pod kilkoma kątami w czasie rzeczywistym)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Zakres ustawienia głębokości penetracji min. 2 – 40 cm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Zakres dynamiki dla obrazu 2D wyświetlany na ekranie 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min. 230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dB</w:t>
            </w:r>
            <w:proofErr w:type="spellEnd"/>
          </w:p>
        </w:tc>
        <w:tc>
          <w:tcPr>
            <w:tcW w:w="684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  <w:r w:rsidR="00DD0821">
              <w:rPr>
                <w:rFonts w:ascii="Century Gothic" w:hAnsi="Century Gothic" w:cs="Arial"/>
                <w:bCs/>
                <w:sz w:val="20"/>
                <w:lang w:eastAsia="pl-PL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 xml:space="preserve">Maksymalna prędkość odświeżania w trybie 2D 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 xml:space="preserve">min. 1000 </w:t>
            </w:r>
            <w:proofErr w:type="spellStart"/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obr</w:t>
            </w:r>
            <w:proofErr w:type="spellEnd"/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./sek.</w:t>
            </w:r>
          </w:p>
        </w:tc>
        <w:tc>
          <w:tcPr>
            <w:tcW w:w="684" w:type="pct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Kompensacja głębokościowa (pozioma) wzmocnienia – min.6 stref (TGC)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Tryb M -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Mode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Wybór prędkości przesuwu zapisu trybu M min. 6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Tryb Doppler Kolorowy (CD)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Ugięcie pola obrazowego Dopplera kolorowego min. 30 stopni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 xml:space="preserve">Maksymalna prędkość odświeżania w trybie CD 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 xml:space="preserve">min. 350 </w:t>
            </w:r>
            <w:proofErr w:type="spellStart"/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obr</w:t>
            </w:r>
            <w:proofErr w:type="spellEnd"/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./sek.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Ilość map kolorów min. 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Automatyczne podążanie pola Dopplera kolorowego za naczyniem w dopplerowskich badaniach naczyniowych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jc w:val="center"/>
              <w:outlineLvl w:val="5"/>
              <w:rPr>
                <w:rFonts w:ascii="Century Gothic" w:hAnsi="Century Gothic" w:cs="Arial"/>
                <w:bCs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Cs/>
                <w:sz w:val="20"/>
                <w:lang w:eastAsia="pl-PL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Tryb Power Doppler (PD)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Tryb Power Doppler kierunkowy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>Tryb spektralny Doppler pulsacyjny (PW)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Maksymalna mierzona prędkość przepływu przy kącie korekcji 0</w:t>
            </w:r>
            <w:r w:rsidRPr="00344E5F">
              <w:rPr>
                <w:rFonts w:ascii="Cambria Math" w:eastAsia="Lucida Sans Unicode" w:hAnsi="Cambria Math" w:cs="Cambria Math"/>
                <w:kern w:val="3"/>
                <w:sz w:val="20"/>
                <w:lang w:eastAsia="zh-CN" w:bidi="hi-IN"/>
              </w:rPr>
              <w:t>⁰</w:t>
            </w: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min. 8,0 m/sek.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Regulacja wielkości bramki dopplerowskiej min. 0,5 – 20 mm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Kąt korekcji bramki dopplerowskiej min. 0 do +/-85 stopni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  <w:r w:rsidR="00DD0821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sz w:val="20"/>
              </w:rPr>
              <w:t>Tryb spektralny Doppler ciągły (CW)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Maksymalna mierzona prędkość przepływu przy kącie korekcji 0</w:t>
            </w:r>
            <w:r w:rsidRPr="00344E5F">
              <w:rPr>
                <w:rFonts w:ascii="Cambria Math" w:eastAsia="Lucida Sans Unicode" w:hAnsi="Cambria Math" w:cs="Cambria Math"/>
                <w:kern w:val="3"/>
                <w:sz w:val="20"/>
                <w:lang w:eastAsia="zh-CN" w:bidi="hi-IN"/>
              </w:rPr>
              <w:t>⁰</w:t>
            </w: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min. 20,0 m/sek.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  <w:r w:rsidR="00DD0821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 xml:space="preserve">Automatyczna optymalizacja obrazu za pomocą jednego przycisku w trybie B-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 xml:space="preserve"> i Dopplera spektralnego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OPROGRAMOWANIE POMIAROWE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Oprogramowanie aparatu /programy obliczeniowe i raporty/: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j.brzuszna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, kardiologia, ginekologia, położnictwo, naczynia, małe i powierzchowne narządy, urologia, nerwy, mięśniowo-szkieletowe i inne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Pakiet obliczeń automatycznych dla Dopplera – automatyczny obrys spektrum wraz z podaniem podstawowych parametrów przepływu (min. PI, RI,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Vmax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., 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Vmin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. i inne) zarówno na obrazie rzeczywistym, jak i na obrazie zamrożonym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Możliwość przesyłania raportów w formatach PDF i RTF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GŁOWICE ULTRADŹWIĘK</w:t>
            </w:r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 xml:space="preserve">OWE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bCs/>
                <w:sz w:val="20"/>
              </w:rPr>
              <w:t>Głowica wieloczęstotliwościowa elektroniczna liniowa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Częstotliwość pracy sondy min. 3,0 -13,0 MHz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</w:rPr>
              <w:t>Ilość elementów min.190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Długość pola obrazowego głowicy max. 40 mm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Głębokość obrazowania min. 28 cm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  <w:r w:rsidR="00DD0821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, podać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>wymagana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16"/>
                <w:szCs w:val="16"/>
                <w:lang w:eastAsia="zh-CN"/>
              </w:rPr>
              <w:t xml:space="preserve">powyżej 5 pkt </w:t>
            </w:r>
          </w:p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kern w:val="3"/>
                <w:sz w:val="20"/>
                <w:lang w:eastAsia="zh-CN" w:bidi="hi-IN"/>
              </w:rPr>
              <w:t xml:space="preserve">Wieloczęstotliwościowy </w:t>
            </w: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elektroniczny przetwornik typu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convex</w:t>
            </w:r>
            <w:proofErr w:type="spellEnd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</w:rPr>
              <w:t>Częstotliwość pracy sondy min. 2,0 – 5,0 MHz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Ilość elementów min.120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Kąt  pola obrazowego głowicy min. 75 stopni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Częstotliwości nadawcze pracy do wyboru dla obrazowania harmonicznego min. 4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Głębokość obrazowania min. 37 cm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szCs w:val="24"/>
                <w:lang w:eastAsia="zh-CN" w:bidi="hi-IN"/>
              </w:rPr>
              <w:t xml:space="preserve">Głowica wieloczęstotliwościowa elektroniczna </w:t>
            </w:r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sektorowa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phased</w:t>
            </w:r>
            <w:proofErr w:type="spellEnd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 xml:space="preserve"> </w:t>
            </w:r>
            <w:proofErr w:type="spellStart"/>
            <w:r w:rsidRPr="00344E5F">
              <w:rPr>
                <w:rFonts w:ascii="Century Gothic" w:eastAsia="Lucida Sans Unicode" w:hAnsi="Century Gothic" w:cs="Arial"/>
                <w:b/>
                <w:bCs/>
                <w:kern w:val="3"/>
                <w:sz w:val="20"/>
                <w:lang w:eastAsia="zh-CN" w:bidi="hi-IN"/>
              </w:rPr>
              <w:t>array</w:t>
            </w:r>
            <w:proofErr w:type="spell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</w:rPr>
              <w:t>Częstotliwość pracy sondy min. 2,0 – 4,0 MHz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Ilość elementów min.60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Kąt  pola obrazowego głowicy min. 90 stopni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Centralne częstotliwości pracy do wyboru dla B-</w:t>
            </w:r>
            <w:proofErr w:type="spellStart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mode</w:t>
            </w:r>
            <w:proofErr w:type="spellEnd"/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 xml:space="preserve"> min.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Częstotliwości nadawcze pracy do wyboru dla obrazowania harmonicznego min. 3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bCs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Głębokość obrazowania min. 30 cm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b/>
                <w:bCs/>
                <w:sz w:val="20"/>
                <w:lang w:eastAsia="pl-PL"/>
              </w:rPr>
              <w:t>MOŻLIWOŚCI ROZBUDOWY NA DZIEŃ SKŁADANIA OFERT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keepNext/>
              <w:widowControl/>
              <w:suppressAutoHyphens w:val="0"/>
              <w:autoSpaceDE/>
              <w:outlineLvl w:val="7"/>
              <w:rPr>
                <w:rFonts w:ascii="Century Gothic" w:hAnsi="Century Gothic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Badanie kardiologiczne z użyciem ultrasonograficznego środka kontrastowego LVO.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Kolor M-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Mode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>, anatomiczny M-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Mode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,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>Doppler Tkankowy TDI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Możliwość podłączenia głowic: 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endocavitarnej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, liniowych, 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microconvex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, przezprzełykowej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  <w:tr w:rsidR="00344E5F" w:rsidRPr="00344E5F" w:rsidTr="00941874"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344E5F" w:rsidP="00344E5F">
            <w:pPr>
              <w:widowControl/>
              <w:suppressAutoHyphens w:val="0"/>
              <w:autoSpaceDE/>
              <w:rPr>
                <w:rFonts w:ascii="Century Gothic" w:hAnsi="Century Gothic" w:cs="Arial"/>
                <w:sz w:val="20"/>
                <w:lang w:eastAsia="pl-PL"/>
              </w:rPr>
            </w:pPr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Praca w sieci w standardzie DICOM, min: 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Print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, Storage, Storage 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Commitment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 xml:space="preserve">, 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Worklist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>, Query/</w:t>
            </w:r>
            <w:proofErr w:type="spellStart"/>
            <w:r w:rsidRPr="00344E5F">
              <w:rPr>
                <w:rFonts w:ascii="Century Gothic" w:hAnsi="Century Gothic" w:cs="Arial"/>
                <w:sz w:val="20"/>
                <w:lang w:eastAsia="pl-PL"/>
              </w:rPr>
              <w:t>Retrieve</w:t>
            </w:r>
            <w:proofErr w:type="spellEnd"/>
            <w:r w:rsidRPr="00344E5F">
              <w:rPr>
                <w:rFonts w:ascii="Century Gothic" w:hAnsi="Century Gothic" w:cs="Arial"/>
                <w:sz w:val="20"/>
                <w:lang w:eastAsia="pl-PL"/>
              </w:rPr>
              <w:t>, MPPS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4E5F" w:rsidRPr="00344E5F" w:rsidRDefault="00DD0821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TAK</w:t>
            </w:r>
          </w:p>
        </w:tc>
        <w:tc>
          <w:tcPr>
            <w:tcW w:w="1416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jc w:val="both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</w:p>
        </w:tc>
        <w:tc>
          <w:tcPr>
            <w:tcW w:w="733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44E5F" w:rsidRPr="00344E5F" w:rsidRDefault="00344E5F" w:rsidP="00344E5F">
            <w:pPr>
              <w:autoSpaceDE/>
              <w:autoSpaceDN w:val="0"/>
              <w:jc w:val="center"/>
              <w:textAlignment w:val="baseline"/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</w:pPr>
            <w:r w:rsidRPr="00344E5F">
              <w:rPr>
                <w:rFonts w:ascii="Century Gothic" w:eastAsia="Lucida Sans Unicode" w:hAnsi="Century Gothic" w:cs="Arial"/>
                <w:kern w:val="3"/>
                <w:sz w:val="20"/>
                <w:lang w:eastAsia="zh-CN" w:bidi="hi-IN"/>
              </w:rPr>
              <w:t>----</w:t>
            </w:r>
          </w:p>
        </w:tc>
      </w:tr>
    </w:tbl>
    <w:p w:rsidR="00344E5F" w:rsidRPr="00344E5F" w:rsidRDefault="00344E5F" w:rsidP="00344E5F">
      <w:pPr>
        <w:widowControl/>
        <w:autoSpaceDE/>
        <w:autoSpaceDN w:val="0"/>
        <w:jc w:val="right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p w:rsidR="00344E5F" w:rsidRPr="00DE0FBF" w:rsidRDefault="00344E5F" w:rsidP="00D40309">
      <w:pPr>
        <w:widowControl/>
        <w:tabs>
          <w:tab w:val="left" w:pos="1134"/>
        </w:tabs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  <w:r w:rsidRPr="00D40309">
        <w:rPr>
          <w:rFonts w:ascii="Century Gothic" w:hAnsi="Century Gothic" w:cs="Times New Roman"/>
          <w:b/>
          <w:color w:val="000000" w:themeColor="text1"/>
          <w:kern w:val="3"/>
          <w:sz w:val="20"/>
          <w:lang w:eastAsia="zh-CN"/>
        </w:rPr>
        <w:t xml:space="preserve">Warunki gwarancji </w:t>
      </w:r>
      <w:r w:rsidRPr="00DE0FBF">
        <w:rPr>
          <w:rFonts w:ascii="Century Gothic" w:hAnsi="Century Gothic" w:cs="Times New Roman"/>
          <w:b/>
          <w:kern w:val="3"/>
          <w:sz w:val="20"/>
          <w:lang w:eastAsia="zh-CN"/>
        </w:rPr>
        <w:t xml:space="preserve">i serwisu </w:t>
      </w:r>
      <w:r w:rsidR="00DE0FBF">
        <w:rPr>
          <w:rFonts w:ascii="Century Gothic" w:hAnsi="Century Gothic" w:cs="Times New Roman"/>
          <w:b/>
          <w:kern w:val="3"/>
          <w:sz w:val="20"/>
          <w:lang w:eastAsia="zh-CN"/>
        </w:rPr>
        <w:t>(dla wszystkich pozycji)</w:t>
      </w:r>
      <w:bookmarkStart w:id="0" w:name="_GoBack"/>
      <w:bookmarkEnd w:id="0"/>
    </w:p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b/>
          <w:kern w:val="3"/>
          <w:sz w:val="20"/>
          <w:lang w:eastAsia="zh-CN"/>
        </w:rPr>
      </w:pPr>
    </w:p>
    <w:tbl>
      <w:tblPr>
        <w:tblW w:w="14601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6954"/>
        <w:gridCol w:w="1585"/>
        <w:gridCol w:w="2184"/>
        <w:gridCol w:w="3310"/>
      </w:tblGrid>
      <w:tr w:rsidR="00344E5F" w:rsidRPr="00344E5F" w:rsidTr="001C766A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l.p.</w:t>
            </w:r>
          </w:p>
        </w:tc>
        <w:tc>
          <w:tcPr>
            <w:tcW w:w="6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</w:t>
            </w:r>
          </w:p>
        </w:tc>
        <w:tc>
          <w:tcPr>
            <w:tcW w:w="1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 wymagany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Parametr oferowany</w:t>
            </w:r>
          </w:p>
        </w:tc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Sposób oceny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 xml:space="preserve">Gwarancja na sprzęt.  </w:t>
            </w:r>
            <w:r w:rsidR="001D3EE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[miesiące]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&gt;= 24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1D3EE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24 miesią</w:t>
            </w:r>
            <w:r w:rsidR="00344E5F"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ce – 0 pkt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najdłuższy – 60 pkt, pozostałe proporcjonalnie mniej względem najdłuższej gwarancji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Gwarancja min. 10–letniego dostępu do części zamiennych, materiałów eksploatacyjnych i akcesoriów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Gwarancja aktualizacji oprogramowania do najnowszej, dostępnej wersji na rynku przez 36 miesięcy od dnia odbioru, podczas każdego, wykonywanego przeglądu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Gwarancja 80% sprawności akumulatorów przez okres 3 lat lub wymiana na nowy w tym okresie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Na cały czas naprawy każdej z głowic, zastępcza głowica o parametrach nie gorszych niż posiadana dostarczona w ciągu 3 dni roboczych od podjęcia naprawy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Liczba przeglądów okresowych niezbędnych do wykonywania po upływie gwarancji dla potwierdzenia bezpiecznej eksploatacji aparatu – podać, opisać zakres.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 xml:space="preserve">UWAGA – wykonawcę obowiązuje wykonywanie przeglądów okresowych w wymaganej liczbie także w okresie gwarancji (w cenie oferty, bez żadnych dodatkowych kosztów). 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podać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Maksymalny czas naprawy  nie może przekroczyć 10 dni roboczych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Wymiana podzespołu na nowy – natychmiastowa lub co najwyżej po pierwszej nieskutecznej próbie jego naprawy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 xml:space="preserve">Możliwość zgłoszeń 24 </w:t>
            </w:r>
            <w:proofErr w:type="spellStart"/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godz</w:t>
            </w:r>
            <w:proofErr w:type="spellEnd"/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/dobę, 365 dni/rok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Czas reakcji serwisu (przyjęte zgłoszenie – podjęta naprawa) 2 dni robocze.</w:t>
            </w:r>
          </w:p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 xml:space="preserve">Jako "podjęta naprawa" liczy się obecność uprawnionego  pracownika wykonawcy przy uszkodzonym aparacie lub jego odbiór </w:t>
            </w: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lastRenderedPageBreak/>
              <w:t>na koszt wykonawcy (np. pocztą kurierską)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lastRenderedPageBreak/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Lokalizacja serwisu umożliwiająca przybycie uprawnionego inżyniera w sytuacjach awaryjnych do 4 godzin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tak, podać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Szkolenia dla personelu  medycznego z zakresu obsługi urządzenia (ok.8 osób)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Szkolenia dla personelu technicznego (pracownicy Działu Aparatury – min. 2 osoby) z zakresu diagnostyki stanu technicznego i wykonywania czynności konserwacyjnych , naprawczych i przeglądowych;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Szkolenia w obiekcie będącym docelowym miejscem instalacji oraz na życzenie użytkownika w ośrodku referencyjnym producenta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b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Urządzenia są lub będą pozbawione kodów serwisowych i innych zabezpieczeń, które po upływie okresu gwarancji utrudniałyby dostęp do aparatu i jego serwisowanie, pracownikom technicznym Zamawiającego lub innemu wykonawcy usług serwisowych, niż tzw. autoryzowany serwis producenta (dot. wykonywania przeglądów, napraw z wymianą części, instalacji urządzeń peryferyjnych, akcesoriów, przystawek, itd.)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 xml:space="preserve">dokumentacja serwisowa i/lub oprogramowanie serwisowe na </w:t>
            </w: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lastRenderedPageBreak/>
              <w:t>potrzeby Zamawiającego (dokumentacja zapewni co najmniej pełną diagnostykę urządzenia, wykonywanie drobnych napraw, regulacji, kalibracji, etc.)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lastRenderedPageBreak/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Instrukcja obsługi w języku polskim w formie elektronicznej i drukowanej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W cenie urządzenia znajduje się komplet akcesoriów, okablowania itp. asortymentu niezbędnego do uruchomienia i funkcjonowania aparatu jako całości w wymaganej specyfikacją konfiguracji (należy przewidzieć materiały na okres ok. 1 miesiąca)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58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Z każdym urządzeniem wykonawca dostarczy paszport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tak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napToGrid w:val="0"/>
              <w:textAlignment w:val="baseline"/>
              <w:rPr>
                <w:rFonts w:ascii="Century Gothic" w:eastAsia="Lucida Sans Unicode" w:hAnsi="Century Gothic" w:cs="Mangal"/>
                <w:kern w:val="3"/>
                <w:sz w:val="20"/>
                <w:lang w:eastAsia="zh-CN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jc w:val="center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- - -</w:t>
            </w:r>
          </w:p>
        </w:tc>
      </w:tr>
      <w:tr w:rsidR="00344E5F" w:rsidRPr="00344E5F" w:rsidTr="001C766A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autoSpaceDE/>
              <w:autoSpaceDN w:val="0"/>
              <w:snapToGrid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  <w:r w:rsidRPr="00344E5F">
              <w:rPr>
                <w:rFonts w:ascii="Century Gothic" w:hAnsi="Century Gothic" w:cs="Times New Roman"/>
                <w:kern w:val="3"/>
                <w:sz w:val="20"/>
                <w:lang w:eastAsia="zh-CN"/>
              </w:rPr>
              <w:t>Pozostałe parametry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tryb niskiego poboru mocy [kW/h]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TAK, podać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najniższa wartość – 1 pkt.</w:t>
            </w:r>
          </w:p>
          <w:p w:rsidR="00344E5F" w:rsidRPr="00344E5F" w:rsidRDefault="00344E5F" w:rsidP="00344E5F">
            <w:pPr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inne – 0 pkt.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instrukcja obsługi zawierająca wskazówki zarządzania wydajnością i energooszczędnością urządzenia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tak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szkolenia dla personelu medycznego i technicznego w zakresie efektywności energetycznej urządzenia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tak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- - -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 xml:space="preserve"> podać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największa liczba certyfikatów – 1 pkt.</w:t>
            </w: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inne – 0 pkt.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podać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najdłuższy okres – 1 pkt.</w:t>
            </w:r>
          </w:p>
          <w:p w:rsidR="00344E5F" w:rsidRPr="00344E5F" w:rsidRDefault="00344E5F" w:rsidP="00344E5F">
            <w:pPr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inne – 0 pkt.</w:t>
            </w:r>
          </w:p>
        </w:tc>
      </w:tr>
      <w:tr w:rsidR="00344E5F" w:rsidRPr="00344E5F" w:rsidTr="001C76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widowControl/>
              <w:numPr>
                <w:ilvl w:val="0"/>
                <w:numId w:val="8"/>
              </w:numPr>
              <w:suppressLineNumbers/>
              <w:autoSpaceDE/>
              <w:autoSpaceDN w:val="0"/>
              <w:textAlignment w:val="baseline"/>
              <w:rPr>
                <w:rFonts w:ascii="Century Gothic" w:hAnsi="Century Gothic" w:cs="Times New Roman"/>
                <w:kern w:val="3"/>
                <w:sz w:val="20"/>
                <w:lang w:eastAsia="zh-CN"/>
              </w:rPr>
            </w:pP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możliwość automatycznego przechodzenia urządzenia w tryb czuwania/niskiego poboru mocy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center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  <w:r w:rsidRPr="00344E5F"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  <w:t>podać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4E5F" w:rsidRPr="00344E5F" w:rsidRDefault="00344E5F" w:rsidP="00344E5F">
            <w:pPr>
              <w:suppressAutoHyphens w:val="0"/>
              <w:autoSpaceDE/>
              <w:autoSpaceDN w:val="0"/>
              <w:spacing w:line="288" w:lineRule="auto"/>
              <w:jc w:val="right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369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344E5F" w:rsidRPr="00344E5F" w:rsidTr="00941874">
              <w:tc>
                <w:tcPr>
                  <w:tcW w:w="3686" w:type="dxa"/>
                  <w:hideMark/>
                </w:tcPr>
                <w:p w:rsidR="00344E5F" w:rsidRPr="00344E5F" w:rsidRDefault="00344E5F" w:rsidP="00344E5F">
                  <w:pPr>
                    <w:autoSpaceDE/>
                    <w:autoSpaceDN w:val="0"/>
                    <w:snapToGrid w:val="0"/>
                    <w:spacing w:line="288" w:lineRule="auto"/>
                    <w:textAlignment w:val="baseline"/>
                    <w:rPr>
                      <w:rFonts w:ascii="Century Gothic" w:eastAsia="Lucida Sans Unicode" w:hAnsi="Century Gothic" w:cs="Mangal"/>
                      <w:kern w:val="3"/>
                      <w:sz w:val="20"/>
                      <w:szCs w:val="24"/>
                      <w:lang w:eastAsia="zh-CN" w:bidi="hi-IN"/>
                    </w:rPr>
                  </w:pPr>
                  <w:r w:rsidRPr="00344E5F">
                    <w:rPr>
                      <w:rFonts w:ascii="Century Gothic" w:eastAsia="Lucida Sans Unicode" w:hAnsi="Century Gothic" w:cs="Mangal"/>
                      <w:kern w:val="3"/>
                      <w:sz w:val="20"/>
                      <w:szCs w:val="24"/>
                      <w:lang w:eastAsia="zh-CN" w:bidi="hi-IN"/>
                    </w:rPr>
                    <w:t>tak – 5 pkt.</w:t>
                  </w:r>
                </w:p>
                <w:p w:rsidR="00344E5F" w:rsidRPr="00344E5F" w:rsidRDefault="00344E5F" w:rsidP="00344E5F">
                  <w:pPr>
                    <w:autoSpaceDE/>
                    <w:autoSpaceDN w:val="0"/>
                    <w:snapToGrid w:val="0"/>
                    <w:spacing w:line="288" w:lineRule="auto"/>
                    <w:textAlignment w:val="baseline"/>
                    <w:rPr>
                      <w:rFonts w:ascii="Century Gothic" w:eastAsia="Lucida Sans Unicode" w:hAnsi="Century Gothic" w:cs="Mangal"/>
                      <w:kern w:val="3"/>
                      <w:sz w:val="20"/>
                      <w:szCs w:val="24"/>
                      <w:lang w:eastAsia="zh-CN" w:bidi="hi-IN"/>
                    </w:rPr>
                  </w:pPr>
                  <w:r w:rsidRPr="00344E5F">
                    <w:rPr>
                      <w:rFonts w:ascii="Century Gothic" w:eastAsia="Lucida Sans Unicode" w:hAnsi="Century Gothic" w:cs="Mangal"/>
                      <w:kern w:val="3"/>
                      <w:sz w:val="20"/>
                      <w:szCs w:val="24"/>
                      <w:lang w:eastAsia="zh-CN" w:bidi="hi-IN"/>
                    </w:rPr>
                    <w:t>nie – 0 pkt</w:t>
                  </w:r>
                </w:p>
              </w:tc>
            </w:tr>
          </w:tbl>
          <w:p w:rsidR="00344E5F" w:rsidRPr="00344E5F" w:rsidRDefault="00344E5F" w:rsidP="00344E5F">
            <w:pPr>
              <w:autoSpaceDE/>
              <w:autoSpaceDN w:val="0"/>
              <w:spacing w:line="288" w:lineRule="auto"/>
              <w:textAlignment w:val="baseline"/>
              <w:rPr>
                <w:rFonts w:ascii="Century Gothic" w:eastAsia="Calibri" w:hAnsi="Century Gothic" w:cs="Mangal"/>
                <w:kern w:val="3"/>
                <w:sz w:val="20"/>
                <w:szCs w:val="24"/>
                <w:lang w:eastAsia="en-US" w:bidi="hi-IN"/>
              </w:rPr>
            </w:pPr>
          </w:p>
        </w:tc>
      </w:tr>
    </w:tbl>
    <w:p w:rsidR="00344E5F" w:rsidRPr="00344E5F" w:rsidRDefault="00344E5F" w:rsidP="00344E5F">
      <w:pPr>
        <w:widowControl/>
        <w:autoSpaceDE/>
        <w:autoSpaceDN w:val="0"/>
        <w:textAlignment w:val="baseline"/>
        <w:rPr>
          <w:rFonts w:ascii="Century Gothic" w:hAnsi="Century Gothic" w:cs="Times New Roman"/>
          <w:kern w:val="3"/>
          <w:sz w:val="20"/>
          <w:lang w:eastAsia="zh-CN"/>
        </w:rPr>
      </w:pPr>
    </w:p>
    <w:p w:rsidR="00680E8E" w:rsidRDefault="00680E8E" w:rsidP="00680E8E">
      <w:pPr>
        <w:pStyle w:val="Standard"/>
        <w:rPr>
          <w:rFonts w:ascii="Century Gothic" w:hAnsi="Century Gothic"/>
          <w:b/>
          <w:sz w:val="20"/>
          <w:szCs w:val="20"/>
        </w:rPr>
      </w:pPr>
    </w:p>
    <w:sectPr w:rsidR="00680E8E" w:rsidSect="00680E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41" w:rsidRDefault="00AF7841" w:rsidP="00680E8E">
      <w:r>
        <w:separator/>
      </w:r>
    </w:p>
  </w:endnote>
  <w:endnote w:type="continuationSeparator" w:id="0">
    <w:p w:rsidR="00AF7841" w:rsidRDefault="00AF7841" w:rsidP="0068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D6" w:rsidRDefault="004D36D6" w:rsidP="004D36D6">
    <w:pPr>
      <w:tabs>
        <w:tab w:val="left" w:pos="9214"/>
        <w:tab w:val="left" w:pos="9639"/>
      </w:tabs>
      <w:ind w:left="4140" w:hanging="1163"/>
      <w:jc w:val="center"/>
    </w:pPr>
  </w:p>
  <w:p w:rsidR="004D36D6" w:rsidRDefault="004D36D6" w:rsidP="004D36D6">
    <w:pPr>
      <w:tabs>
        <w:tab w:val="left" w:pos="9214"/>
        <w:tab w:val="left" w:pos="9639"/>
      </w:tabs>
      <w:ind w:left="4140" w:hanging="1163"/>
      <w:jc w:val="center"/>
      <w:rPr>
        <w:rFonts w:asciiTheme="minorHAnsi" w:eastAsiaTheme="minorHAnsi" w:hAnsiTheme="minorHAnsi" w:cstheme="minorBidi"/>
        <w:sz w:val="22"/>
        <w:szCs w:val="22"/>
        <w:lang w:eastAsia="en-US"/>
      </w:rPr>
    </w:pPr>
  </w:p>
  <w:sdt>
    <w:sdtPr>
      <w:rPr>
        <w:rFonts w:ascii="Times New Roman" w:eastAsia="Lucida Sans Unicode" w:hAnsi="Times New Roman" w:cs="Mangal"/>
        <w:kern w:val="3"/>
        <w:sz w:val="20"/>
        <w:lang w:val="x-none" w:eastAsia="zh-CN" w:bidi="hi-IN"/>
      </w:rPr>
      <w:id w:val="-2023240303"/>
      <w:docPartObj>
        <w:docPartGallery w:val="Page Numbers (Bottom of Page)"/>
        <w:docPartUnique/>
      </w:docPartObj>
    </w:sdtPr>
    <w:sdtEndPr/>
    <w:sdtContent>
      <w:p w:rsidR="004D36D6" w:rsidRPr="004D36D6" w:rsidRDefault="004D36D6" w:rsidP="004D36D6">
        <w:pPr>
          <w:tabs>
            <w:tab w:val="left" w:pos="9214"/>
            <w:tab w:val="left" w:pos="9639"/>
          </w:tabs>
          <w:ind w:left="4140" w:hanging="1163"/>
          <w:jc w:val="center"/>
          <w:rPr>
            <w:rFonts w:ascii="Times New Roman" w:hAnsi="Times New Roman" w:cs="Times New Roman"/>
            <w:i/>
            <w:iCs/>
            <w:sz w:val="20"/>
            <w:szCs w:val="24"/>
            <w:lang w:eastAsia="pl-PL"/>
          </w:rPr>
        </w:pPr>
        <w:r>
          <w:t xml:space="preserve">                                                    </w:t>
        </w:r>
        <w:r w:rsidRPr="004D36D6">
          <w:rPr>
            <w:rFonts w:ascii="Times New Roman" w:hAnsi="Times New Roman" w:cs="Times New Roman"/>
            <w:i/>
            <w:iCs/>
            <w:sz w:val="20"/>
            <w:szCs w:val="24"/>
            <w:lang w:eastAsia="pl-PL"/>
          </w:rPr>
          <w:t>..................................................................................................................................</w:t>
        </w:r>
      </w:p>
      <w:p w:rsidR="004D36D6" w:rsidRPr="004D36D6" w:rsidRDefault="004D36D6" w:rsidP="004D36D6">
        <w:pPr>
          <w:widowControl/>
          <w:tabs>
            <w:tab w:val="left" w:pos="9214"/>
            <w:tab w:val="left" w:pos="9639"/>
          </w:tabs>
          <w:suppressAutoHyphens w:val="0"/>
          <w:autoSpaceDE/>
          <w:ind w:left="3686"/>
          <w:jc w:val="center"/>
          <w:rPr>
            <w:rFonts w:ascii="Times New Roman" w:hAnsi="Times New Roman" w:cs="Times New Roman"/>
            <w:bCs/>
            <w:i/>
            <w:iCs/>
            <w:sz w:val="18"/>
            <w:szCs w:val="18"/>
            <w:lang w:eastAsia="pl-PL"/>
          </w:rPr>
        </w:pPr>
        <w:r>
          <w:rPr>
            <w:rFonts w:ascii="Times New Roman" w:hAnsi="Times New Roman" w:cs="Times New Roman"/>
            <w:i/>
            <w:iCs/>
            <w:sz w:val="18"/>
            <w:szCs w:val="18"/>
            <w:lang w:eastAsia="pl-PL"/>
          </w:rPr>
          <w:t xml:space="preserve">                                                    </w:t>
        </w:r>
        <w:r w:rsidRPr="004D36D6">
          <w:rPr>
            <w:rFonts w:ascii="Times New Roman" w:hAnsi="Times New Roman" w:cs="Times New Roman"/>
            <w:i/>
            <w:iCs/>
            <w:sz w:val="18"/>
            <w:szCs w:val="18"/>
            <w:lang w:eastAsia="pl-PL"/>
          </w:rPr>
          <w:t>podpis i pieczęć osoby (osób) upoważnionej do reprezentowania Wykonawcy</w:t>
        </w:r>
      </w:p>
      <w:p w:rsidR="004D36D6" w:rsidRDefault="004D36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FBF" w:rsidRPr="00DE0FBF">
          <w:rPr>
            <w:noProof/>
            <w:lang w:val="pl-PL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41" w:rsidRDefault="00AF7841" w:rsidP="00680E8E">
      <w:r>
        <w:separator/>
      </w:r>
    </w:p>
  </w:footnote>
  <w:footnote w:type="continuationSeparator" w:id="0">
    <w:p w:rsidR="00AF7841" w:rsidRDefault="00AF7841" w:rsidP="00680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6D6" w:rsidRDefault="00D40309" w:rsidP="00D4030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82D378F" wp14:editId="59B95CF0">
          <wp:extent cx="5495925" cy="762000"/>
          <wp:effectExtent l="0" t="0" r="9525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</w:t>
    </w:r>
    <w:r w:rsidRPr="00D40309">
      <w:t xml:space="preserve">DFP.271.1.2018.BZ                                    </w:t>
    </w:r>
    <w:r>
      <w:t xml:space="preserve">                                                                                            </w:t>
    </w:r>
    <w:r w:rsidRPr="00D40309">
      <w:t xml:space="preserve">                </w:t>
    </w:r>
    <w:r w:rsidR="004D36D6">
      <w:t>Załącznik nr 1a do specyfikacji</w:t>
    </w:r>
  </w:p>
  <w:p w:rsidR="004D36D6" w:rsidRDefault="004D36D6" w:rsidP="004D36D6">
    <w:pPr>
      <w:pStyle w:val="Nagwek"/>
      <w:jc w:val="right"/>
    </w:pPr>
    <w:r>
      <w:t>Załącznik nr…..…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upp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2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206FAB"/>
    <w:multiLevelType w:val="multilevel"/>
    <w:tmpl w:val="9B6ADEE4"/>
    <w:styleLink w:val="WW8Num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13"/>
    <w:rsid w:val="000531AC"/>
    <w:rsid w:val="00075C8C"/>
    <w:rsid w:val="000C0451"/>
    <w:rsid w:val="001340B7"/>
    <w:rsid w:val="001C766A"/>
    <w:rsid w:val="001D3EEF"/>
    <w:rsid w:val="00262D75"/>
    <w:rsid w:val="0028652B"/>
    <w:rsid w:val="00344E5F"/>
    <w:rsid w:val="00386BDE"/>
    <w:rsid w:val="00395CC9"/>
    <w:rsid w:val="004253AC"/>
    <w:rsid w:val="00426D92"/>
    <w:rsid w:val="00462084"/>
    <w:rsid w:val="004D36D6"/>
    <w:rsid w:val="00501994"/>
    <w:rsid w:val="005314F2"/>
    <w:rsid w:val="005842DA"/>
    <w:rsid w:val="005F5ADE"/>
    <w:rsid w:val="006310E0"/>
    <w:rsid w:val="006318A5"/>
    <w:rsid w:val="00680E8E"/>
    <w:rsid w:val="006D08CF"/>
    <w:rsid w:val="0072346C"/>
    <w:rsid w:val="007D0EAE"/>
    <w:rsid w:val="00915407"/>
    <w:rsid w:val="00A94CAE"/>
    <w:rsid w:val="00A97B82"/>
    <w:rsid w:val="00AF7841"/>
    <w:rsid w:val="00C41B13"/>
    <w:rsid w:val="00CD7C3F"/>
    <w:rsid w:val="00D40309"/>
    <w:rsid w:val="00DA6A89"/>
    <w:rsid w:val="00DD0821"/>
    <w:rsid w:val="00DE0FBF"/>
    <w:rsid w:val="00E0349F"/>
    <w:rsid w:val="00E3195F"/>
    <w:rsid w:val="00E76C81"/>
    <w:rsid w:val="00EC3240"/>
    <w:rsid w:val="00F0510E"/>
    <w:rsid w:val="00F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E8E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680E8E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E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E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E8E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680E8E"/>
    <w:pPr>
      <w:spacing w:before="280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680E8E"/>
    <w:pPr>
      <w:widowControl/>
      <w:autoSpaceDE/>
      <w:autoSpaceDN w:val="0"/>
      <w:spacing w:before="100" w:after="119"/>
    </w:pPr>
    <w:rPr>
      <w:color w:val="000000"/>
      <w:szCs w:val="24"/>
    </w:rPr>
  </w:style>
  <w:style w:type="paragraph" w:customStyle="1" w:styleId="Domynie">
    <w:name w:val="Domy徑nie"/>
    <w:rsid w:val="00680E8E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customStyle="1" w:styleId="Standard">
    <w:name w:val="Standard"/>
    <w:rsid w:val="00680E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680E8E"/>
    <w:rPr>
      <w:szCs w:val="20"/>
    </w:rPr>
  </w:style>
  <w:style w:type="paragraph" w:styleId="Tytu">
    <w:name w:val="Title"/>
    <w:basedOn w:val="Standard"/>
    <w:next w:val="Podtytu"/>
    <w:link w:val="TytuZnak"/>
    <w:qFormat/>
    <w:rsid w:val="00680E8E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80E8E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680E8E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E8E"/>
    <w:rPr>
      <w:rFonts w:ascii="Garamond" w:eastAsia="Times New Roman" w:hAnsi="Garamond" w:cs="Calibri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0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0E8E"/>
    <w:pPr>
      <w:tabs>
        <w:tab w:val="center" w:pos="4536"/>
        <w:tab w:val="right" w:pos="9072"/>
      </w:tabs>
      <w:autoSpaceDE/>
      <w:autoSpaceDN w:val="0"/>
    </w:pPr>
    <w:rPr>
      <w:rFonts w:ascii="Times New Roman" w:eastAsia="Lucida Sans Unicode" w:hAnsi="Times New Roman" w:cs="Mangal"/>
      <w:kern w:val="3"/>
      <w:sz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680E8E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680E8E"/>
    <w:rPr>
      <w:rFonts w:ascii="Arial" w:eastAsia="Times New Roman" w:hAnsi="Arial" w:cs="Times New Roman"/>
      <w:szCs w:val="20"/>
      <w:lang w:val="en-US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680E8E"/>
    <w:pPr>
      <w:widowControl/>
      <w:suppressAutoHyphens w:val="0"/>
      <w:autoSpaceDE/>
      <w:ind w:left="720"/>
      <w:contextualSpacing/>
    </w:pPr>
    <w:rPr>
      <w:rFonts w:ascii="Arial" w:hAnsi="Arial" w:cs="Times New Roman"/>
      <w:sz w:val="22"/>
      <w:lang w:val="en-US" w:eastAsia="de-DE"/>
    </w:rPr>
  </w:style>
  <w:style w:type="paragraph" w:customStyle="1" w:styleId="TableContents">
    <w:name w:val="Table Contents"/>
    <w:basedOn w:val="Standard"/>
    <w:rsid w:val="00680E8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80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E8E"/>
    <w:rPr>
      <w:rFonts w:ascii="Garamond" w:eastAsia="Times New Roman" w:hAnsi="Garamond" w:cs="Calibri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numbering" w:customStyle="1" w:styleId="WW8Num1">
    <w:name w:val="WW8Num1"/>
    <w:basedOn w:val="Bezlisty"/>
    <w:rsid w:val="00344E5F"/>
    <w:pPr>
      <w:numPr>
        <w:numId w:val="6"/>
      </w:numPr>
    </w:pPr>
  </w:style>
  <w:style w:type="numbering" w:customStyle="1" w:styleId="WW8Num21">
    <w:name w:val="WW8Num21"/>
    <w:basedOn w:val="Bezlisty"/>
    <w:rsid w:val="00344E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0E8E"/>
    <w:pPr>
      <w:widowControl w:val="0"/>
      <w:suppressAutoHyphens/>
      <w:autoSpaceDE w:val="0"/>
      <w:spacing w:after="0" w:line="240" w:lineRule="auto"/>
    </w:pPr>
    <w:rPr>
      <w:rFonts w:ascii="Garamond" w:eastAsia="Times New Roman" w:hAnsi="Garamond" w:cs="Calibri"/>
      <w:sz w:val="24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unhideWhenUsed/>
    <w:qFormat/>
    <w:rsid w:val="00680E8E"/>
    <w:pPr>
      <w:keepNext/>
      <w:keepLines/>
      <w:numPr>
        <w:ilvl w:val="1"/>
        <w:numId w:val="1"/>
      </w:numPr>
      <w:spacing w:before="160" w:after="120"/>
      <w:outlineLvl w:val="1"/>
    </w:pPr>
    <w:rPr>
      <w:rFonts w:ascii="Arial" w:hAnsi="Arial"/>
      <w:b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4E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4E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80E8E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ormalnyWeb">
    <w:name w:val="Normal (Web)"/>
    <w:basedOn w:val="Normalny"/>
    <w:unhideWhenUsed/>
    <w:rsid w:val="00680E8E"/>
    <w:pPr>
      <w:spacing w:before="280" w:after="119"/>
    </w:pPr>
    <w:rPr>
      <w:rFonts w:ascii="Times New Roman" w:hAnsi="Times New Roman"/>
      <w:szCs w:val="24"/>
    </w:rPr>
  </w:style>
  <w:style w:type="paragraph" w:customStyle="1" w:styleId="western">
    <w:name w:val="western"/>
    <w:basedOn w:val="Normalny"/>
    <w:rsid w:val="00680E8E"/>
    <w:pPr>
      <w:widowControl/>
      <w:autoSpaceDE/>
      <w:autoSpaceDN w:val="0"/>
      <w:spacing w:before="100" w:after="119"/>
    </w:pPr>
    <w:rPr>
      <w:color w:val="000000"/>
      <w:szCs w:val="24"/>
    </w:rPr>
  </w:style>
  <w:style w:type="paragraph" w:customStyle="1" w:styleId="Domynie">
    <w:name w:val="Domy徑nie"/>
    <w:rsid w:val="00680E8E"/>
    <w:pPr>
      <w:widowControl w:val="0"/>
      <w:autoSpaceDN w:val="0"/>
      <w:adjustRightInd w:val="0"/>
      <w:spacing w:after="0" w:line="240" w:lineRule="auto"/>
    </w:pPr>
    <w:rPr>
      <w:rFonts w:ascii="Garamond" w:eastAsia="Times New Roman" w:hAnsi="Garamond" w:cs="Garamond"/>
      <w:kern w:val="2"/>
      <w:sz w:val="24"/>
      <w:szCs w:val="24"/>
      <w:lang w:eastAsia="pl-PL" w:bidi="hi-IN"/>
    </w:rPr>
  </w:style>
  <w:style w:type="paragraph" w:customStyle="1" w:styleId="Standard">
    <w:name w:val="Standard"/>
    <w:rsid w:val="00680E8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680E8E"/>
    <w:rPr>
      <w:szCs w:val="20"/>
    </w:rPr>
  </w:style>
  <w:style w:type="paragraph" w:styleId="Tytu">
    <w:name w:val="Title"/>
    <w:basedOn w:val="Standard"/>
    <w:next w:val="Podtytu"/>
    <w:link w:val="TytuZnak"/>
    <w:qFormat/>
    <w:rsid w:val="00680E8E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80E8E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680E8E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E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E8E"/>
    <w:rPr>
      <w:rFonts w:ascii="Garamond" w:eastAsia="Times New Roman" w:hAnsi="Garamond" w:cs="Calibri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0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80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80E8E"/>
    <w:pPr>
      <w:tabs>
        <w:tab w:val="center" w:pos="4536"/>
        <w:tab w:val="right" w:pos="9072"/>
      </w:tabs>
      <w:autoSpaceDE/>
      <w:autoSpaceDN w:val="0"/>
    </w:pPr>
    <w:rPr>
      <w:rFonts w:ascii="Times New Roman" w:eastAsia="Lucida Sans Unicode" w:hAnsi="Times New Roman" w:cs="Mangal"/>
      <w:kern w:val="3"/>
      <w:sz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680E8E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680E8E"/>
    <w:rPr>
      <w:rFonts w:ascii="Arial" w:eastAsia="Times New Roman" w:hAnsi="Arial" w:cs="Times New Roman"/>
      <w:szCs w:val="20"/>
      <w:lang w:val="en-US" w:eastAsia="de-DE"/>
    </w:rPr>
  </w:style>
  <w:style w:type="paragraph" w:styleId="Akapitzlist">
    <w:name w:val="List Paragraph"/>
    <w:basedOn w:val="Normalny"/>
    <w:link w:val="AkapitzlistZnak"/>
    <w:uiPriority w:val="34"/>
    <w:qFormat/>
    <w:rsid w:val="00680E8E"/>
    <w:pPr>
      <w:widowControl/>
      <w:suppressAutoHyphens w:val="0"/>
      <w:autoSpaceDE/>
      <w:ind w:left="720"/>
      <w:contextualSpacing/>
    </w:pPr>
    <w:rPr>
      <w:rFonts w:ascii="Arial" w:hAnsi="Arial" w:cs="Times New Roman"/>
      <w:sz w:val="22"/>
      <w:lang w:val="en-US" w:eastAsia="de-DE"/>
    </w:rPr>
  </w:style>
  <w:style w:type="paragraph" w:customStyle="1" w:styleId="TableContents">
    <w:name w:val="Table Contents"/>
    <w:basedOn w:val="Standard"/>
    <w:rsid w:val="00680E8E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80E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0E8E"/>
    <w:rPr>
      <w:rFonts w:ascii="Garamond" w:eastAsia="Times New Roman" w:hAnsi="Garamond" w:cs="Calibri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6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6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4E5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4E5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numbering" w:customStyle="1" w:styleId="WW8Num1">
    <w:name w:val="WW8Num1"/>
    <w:basedOn w:val="Bezlisty"/>
    <w:rsid w:val="00344E5F"/>
    <w:pPr>
      <w:numPr>
        <w:numId w:val="6"/>
      </w:numPr>
    </w:pPr>
  </w:style>
  <w:style w:type="numbering" w:customStyle="1" w:styleId="WW8Num21">
    <w:name w:val="WW8Num21"/>
    <w:basedOn w:val="Bezlisty"/>
    <w:rsid w:val="00344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1931</Words>
  <Characters>11591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Ziajka</cp:lastModifiedBy>
  <cp:revision>9</cp:revision>
  <cp:lastPrinted>2017-09-25T06:36:00Z</cp:lastPrinted>
  <dcterms:created xsi:type="dcterms:W3CDTF">2018-01-10T08:08:00Z</dcterms:created>
  <dcterms:modified xsi:type="dcterms:W3CDTF">2018-02-06T09:45:00Z</dcterms:modified>
</cp:coreProperties>
</file>