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06" w:rsidRDefault="008A7106" w:rsidP="00431206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p w:rsidR="00431206" w:rsidRDefault="00431206" w:rsidP="00431206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:rsidR="00431206" w:rsidRDefault="00431206" w:rsidP="00431206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Mikroskop Operacyjny</w:t>
      </w:r>
    </w:p>
    <w:p w:rsidR="00431206" w:rsidRDefault="00431206" w:rsidP="008A7106">
      <w:pPr>
        <w:pStyle w:val="Standard"/>
        <w:tabs>
          <w:tab w:val="center" w:pos="7002"/>
        </w:tabs>
        <w:spacing w:line="288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Uwagi i objaśnienia:</w:t>
      </w:r>
      <w:r w:rsidR="008A7106">
        <w:rPr>
          <w:rFonts w:ascii="Century Gothic" w:hAnsi="Century Gothic"/>
          <w:sz w:val="18"/>
          <w:szCs w:val="18"/>
        </w:rPr>
        <w:tab/>
      </w: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431206" w:rsidRDefault="00431206" w:rsidP="00431206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431206" w:rsidRDefault="00431206" w:rsidP="00431206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431206" w:rsidRDefault="00431206" w:rsidP="00431206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431206" w:rsidRDefault="00431206" w:rsidP="00431206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>
        <w:rPr>
          <w:rFonts w:ascii="Century Gothic" w:hAnsi="Century Gothic"/>
          <w:sz w:val="18"/>
          <w:szCs w:val="18"/>
        </w:rPr>
        <w:t>rekondycjonowanym</w:t>
      </w:r>
      <w:proofErr w:type="spellEnd"/>
      <w:r>
        <w:rPr>
          <w:rFonts w:ascii="Century Gothic" w:hAnsi="Century Gothic"/>
          <w:sz w:val="18"/>
          <w:szCs w:val="18"/>
        </w:rPr>
        <w:t>, powystawowym i nie był wykorzystywany wcześniej przez innego użytkownika.</w:t>
      </w: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8A4119" w:rsidRDefault="008A4119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Nazwa i typ: .............................................................</w:t>
      </w: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Producent / kraj produkcji: ........................................................</w:t>
      </w: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Rok produkcji (min. 2018): …..............</w:t>
      </w: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Klasa wyrobu medycznego: ..................</w:t>
      </w: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984712" w:rsidRPr="00431206" w:rsidRDefault="00984712" w:rsidP="00984712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431206">
        <w:rPr>
          <w:rFonts w:ascii="Century Gothic" w:hAnsi="Century Gothic"/>
          <w:b/>
          <w:bCs/>
          <w:sz w:val="20"/>
          <w:szCs w:val="20"/>
        </w:rPr>
        <w:t>Parametry techniczne i eksploatacyjne</w:t>
      </w: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701"/>
        <w:gridCol w:w="3685"/>
        <w:gridCol w:w="2694"/>
      </w:tblGrid>
      <w:tr w:rsidR="008028E8" w:rsidRPr="00716F0E" w:rsidTr="008028E8">
        <w:tc>
          <w:tcPr>
            <w:tcW w:w="709" w:type="dxa"/>
            <w:vAlign w:val="center"/>
          </w:tcPr>
          <w:p w:rsidR="008028E8" w:rsidRPr="00716F0E" w:rsidRDefault="008028E8" w:rsidP="00B5731F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l.p.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028E8" w:rsidRPr="00716F0E" w:rsidRDefault="008028E8" w:rsidP="00106FA1">
            <w:pPr>
              <w:pStyle w:val="Zawartotabeli"/>
              <w:snapToGrid w:val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8E8" w:rsidRPr="00716F0E" w:rsidRDefault="008028E8" w:rsidP="00C2669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b/>
                <w:sz w:val="20"/>
                <w:szCs w:val="20"/>
              </w:rPr>
              <w:t>Parametr wymagany/ wartość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028E8" w:rsidRPr="00716F0E" w:rsidRDefault="008028E8" w:rsidP="00C2669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028E8" w:rsidRPr="00716F0E" w:rsidRDefault="008028E8" w:rsidP="00C2669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716F0E">
              <w:rPr>
                <w:rFonts w:ascii="Century Gothic" w:hAnsi="Century Gothic" w:cs="Arial"/>
                <w:b/>
                <w:sz w:val="20"/>
                <w:szCs w:val="20"/>
              </w:rPr>
              <w:t>OCENA PKT.</w:t>
            </w:r>
          </w:p>
        </w:tc>
      </w:tr>
      <w:tr w:rsidR="008028E8" w:rsidRPr="00EC6DB9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Mikroskop operacyjny wysokiej klasy, dedykowany do zastosowań m. in. zaawansowanych procedurach neurochirurgicznych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EC6DB9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Statyw podłogowy – jezdny, z blokadą do unieruchomienia układu jezdnego statywu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Powierzchnia mikroskopu łatwa do dezynfekcji </w:t>
            </w:r>
            <w:r w:rsidRPr="00716F0E">
              <w:rPr>
                <w:rFonts w:ascii="Century Gothic" w:hAnsi="Century Gothic" w:cs="Arial"/>
                <w:sz w:val="20"/>
                <w:szCs w:val="20"/>
              </w:rPr>
              <w:br/>
              <w:t>i utrzymania w czystości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Precyzyjny system zawieszania i wyważania mikroskopu (6 stopni swobody)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Regulacja ramion mikroskopu – elektromagnetyczna lub mechaniczna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F65B8E" w:rsidRDefault="00A37445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65B8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F65B8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B469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W pełni elektromagnetyczna – 2 pkt.</w:t>
            </w:r>
            <w:r w:rsidR="00A3744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Inne rozwiązania – 1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Obrót statywu względem podstawy jezdnej min. 340[º]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B469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System przesuwu głowicy XY w 3 osiach - sterowanie z rękojeści niezależnie od sprzęgieł elektromagnetycznych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System automatycznego balansowania mikroskopu i statywu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Możliwość ręcznego zbalansowania mikroskopu w przypadku awarii funkcji automatycznej.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B469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1 pkt.</w:t>
            </w:r>
            <w:r w:rsidR="00A3744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Oświetlenie prowadzone światłowodem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Główne źródło światła - ksenonowe moc min. 300[W]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c>
          <w:tcPr>
            <w:tcW w:w="709" w:type="dxa"/>
            <w:tcBorders>
              <w:bottom w:val="single" w:sz="4" w:space="0" w:color="auto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Zapasowe źródło światła - ksenonowe moc min. 300[W]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Wskaźnik zużycia lampy wyrażony w roboczogodzinach/godzinach pracy [h]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System automatycznej regulacji natężenia światła w zależności od dystansu ogniskowania mikroskopu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1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System automatycznej regulacji natężenia światła w zależności od wielkości (średnicy) oświetlanego pola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1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Bezcieniowe pole widzenia przy pracy w wąskich kanałach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Możliwość zawężania oświetlanego pola operacyjnego do pracy w kanałach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Prowadzenie światłowodów oraz przewodów toru wizyjnego w ramionach statywu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Ogniskowa obiektywu min. 230-450[mm]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  <w:r w:rsidR="00106FA1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106FA1" w:rsidRPr="00F65B8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BE7B7B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0070C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Zakres wymagany – 1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Wyższy niż wymagany – 2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Płynne sterowane (z możliwością zmiany szybkości działania), elektromotoryczne powiększenie 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- w zakresie min. 1:6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Płynna, elektromotoryczna regulacja ostrości (fokus) 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- z możliwością zmiany szybkości działania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Funkcja zależności prędkości działania od stopnia powiększenia (duże powiększenie - mniejsza prędkość fokus, małe powiększenie – wyższa prędkość fokus)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2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Manualna regulacja funkcji </w:t>
            </w:r>
            <w:proofErr w:type="spellStart"/>
            <w:r w:rsidRPr="00716F0E">
              <w:rPr>
                <w:rFonts w:ascii="Century Gothic" w:hAnsi="Century Gothic" w:cs="Arial"/>
                <w:sz w:val="20"/>
                <w:szCs w:val="20"/>
              </w:rPr>
              <w:t>focus</w:t>
            </w:r>
            <w:proofErr w:type="spellEnd"/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 oraz zoom 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w sytuacjach awaryjnych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1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Sterowanie funkcjami fokus i zoom poprzez przełączniki umieszczone na bocznych uchwytach 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do manewrowania mikroskopem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Zwalnianie hamulców poprzez przełączniki umieszczone na bocznych uchwytach do manewrowania mikroskopem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1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Sprzęgła elektromotoryczne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4A4815" w:rsidRDefault="008028E8" w:rsidP="008028E8">
            <w:pPr>
              <w:pStyle w:val="Akapitzlist"/>
              <w:numPr>
                <w:ilvl w:val="0"/>
                <w:numId w:val="43"/>
              </w:numPr>
              <w:spacing w:after="60"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4A4815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A4815">
              <w:rPr>
                <w:rFonts w:ascii="Century Gothic" w:hAnsi="Century Gothic" w:cs="Arial"/>
                <w:sz w:val="20"/>
                <w:szCs w:val="20"/>
              </w:rPr>
              <w:t xml:space="preserve">Możliwość selektywnego uruchamiania sprzęgieł statywu i mikroskopu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Przyłączanie wyposażenia dodatkowego (podgląd asystencki, nasadka okularowa do pracy face to face, foto, video) – za pomocą rozdzielacza optycznego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Łatwa i szybka zmiana strony podglądu asystenckiego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Podgląd asystencki stereoskopowy na ramieniu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Podgląd asystencki – regulacja </w:t>
            </w:r>
            <w:proofErr w:type="spellStart"/>
            <w:r w:rsidRPr="00716F0E">
              <w:rPr>
                <w:rFonts w:ascii="Century Gothic" w:hAnsi="Century Gothic" w:cs="Arial"/>
                <w:sz w:val="20"/>
                <w:szCs w:val="20"/>
              </w:rPr>
              <w:t>tubusa</w:t>
            </w:r>
            <w:proofErr w:type="spellEnd"/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 w min. dwóch płaszczyznach z okularami o powiększeniu min. 12x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Możliwość pochylania samej nasadki w zakresie min. 150 stopni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1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Ruchy głowicy w kierunku góra-dół bez zmiany pozycji bocznego podglądu asystenckiego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16F0E">
              <w:rPr>
                <w:rFonts w:ascii="Century Gothic" w:hAnsi="Century Gothic" w:cs="Arial"/>
                <w:sz w:val="20"/>
                <w:szCs w:val="20"/>
              </w:rPr>
              <w:t>lub: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dodatkowo pochylana nasadka bocznego podglądu w zakresie min. 150 stopni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2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Nasadka okularowa operatora pochylna w zakresie ruchu góra-dół min. 115[º]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eastAsia="Calibri" w:hAnsi="Century Gothic" w:cs="Arial"/>
                <w:sz w:val="20"/>
                <w:szCs w:val="20"/>
              </w:rPr>
              <w:t xml:space="preserve">Nasadka okularowa z okularami o powiększeniu </w:t>
            </w:r>
            <w:r w:rsidRPr="00716F0E">
              <w:rPr>
                <w:rFonts w:ascii="Century Gothic" w:eastAsia="Calibri" w:hAnsi="Century Gothic" w:cs="Arial"/>
                <w:sz w:val="20"/>
                <w:szCs w:val="20"/>
              </w:rPr>
              <w:br/>
              <w:t>min 10x</w:t>
            </w: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Nasadka okularowa drugiego operatora „face to „face” – pochylna w zakresie ruchu góra-dół zakres przechyłu: min. 115 [º], powiększenie okularów: min. 10x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spacing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TAK </w:t>
            </w:r>
          </w:p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Możliwość indywidualnych ustawień n/w parametrów: zoom, fokus, natężenie oświetlenia, konfiguracja przycisków rękojeści – min. 5 operatorów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Współpraca z systemami </w:t>
            </w:r>
            <w:proofErr w:type="spellStart"/>
            <w:r w:rsidRPr="00716F0E">
              <w:rPr>
                <w:rFonts w:ascii="Century Gothic" w:hAnsi="Century Gothic" w:cs="Arial"/>
                <w:sz w:val="20"/>
                <w:szCs w:val="20"/>
              </w:rPr>
              <w:t>neuronawigacji</w:t>
            </w:r>
            <w:proofErr w:type="spellEnd"/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 (zainstalowany dwukierunkowy interfejs do pracy 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z systemami </w:t>
            </w:r>
            <w:proofErr w:type="spellStart"/>
            <w:r w:rsidRPr="00716F0E">
              <w:rPr>
                <w:rFonts w:ascii="Century Gothic" w:hAnsi="Century Gothic" w:cs="Arial"/>
                <w:sz w:val="20"/>
                <w:szCs w:val="20"/>
              </w:rPr>
              <w:t>neuronawigacji</w:t>
            </w:r>
            <w:proofErr w:type="spellEnd"/>
            <w:r w:rsidRPr="00716F0E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eastAsia="Calibri" w:hAnsi="Century Gothic" w:cs="Arial"/>
                <w:sz w:val="20"/>
                <w:szCs w:val="20"/>
              </w:rPr>
              <w:t>System nastrzykiwania obrazu do okularów operatora o rozdzielczości wynoszącej równe 1024 × 768 pikseli lub wyższej.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System doprowadzający do operatora informacje o parametrach pracy mikroskopu oraz informacji z urządzeń peryferyjnych. 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Dopuszcza się następujące  rozwiązania:</w:t>
            </w:r>
          </w:p>
          <w:p w:rsidR="008028E8" w:rsidRPr="00716F0E" w:rsidRDefault="008028E8" w:rsidP="00106FA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zintegrowany tzw. </w:t>
            </w:r>
            <w:proofErr w:type="spellStart"/>
            <w:r w:rsidRPr="00716F0E">
              <w:rPr>
                <w:rFonts w:ascii="Century Gothic" w:hAnsi="Century Gothic" w:cs="Arial"/>
                <w:sz w:val="20"/>
                <w:szCs w:val="20"/>
              </w:rPr>
              <w:t>head-up</w:t>
            </w:r>
            <w:proofErr w:type="spellEnd"/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 display (rozdzielczość min. SVGA 800x600) pozwalający na naprzemienne wprowadzanie w oba okulary informacji o parametrach pracy mikroskopu oraz obrazów pochodzących z urządzeń peryferyjnych,</w:t>
            </w:r>
          </w:p>
          <w:p w:rsidR="008028E8" w:rsidRPr="00716F0E" w:rsidRDefault="008028E8" w:rsidP="00106FA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monitor dotykowy (z rozdzielczością min. 1024x 768 [pikseli] i przekątną min. 6 [cali]) umieszczony nad </w:t>
            </w:r>
            <w:r w:rsidRPr="00716F0E">
              <w:rPr>
                <w:rFonts w:ascii="Century Gothic" w:hAnsi="Century Gothic" w:cs="Arial"/>
                <w:sz w:val="20"/>
                <w:szCs w:val="20"/>
              </w:rPr>
              <w:lastRenderedPageBreak/>
              <w:t>okularami operatora, umożliwiający pracę pod folia operacyjną,</w:t>
            </w:r>
          </w:p>
          <w:p w:rsidR="008028E8" w:rsidRPr="00716F0E" w:rsidRDefault="008028E8" w:rsidP="00106FA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227" w:hanging="227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możliwość naprzemiennego wprowadzania w oba okulary obrazów pochodzących z urządzeń peryferyjnych oraz wyświetlania parametrów pracy (co najmniej powiększenie i dystans roboczy) na głowicy mikroskopu po stronie operatora.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eastAsia="Calibri" w:hAnsi="Century Gothic" w:cs="Arial"/>
                <w:sz w:val="20"/>
                <w:szCs w:val="20"/>
              </w:rPr>
              <w:t xml:space="preserve">Systemy powinny zapewniać co najmniej wprowadzanie obrazów z systemu IGS, sygnału video np. z endoskopu, </w:t>
            </w:r>
            <w:proofErr w:type="spellStart"/>
            <w:r w:rsidRPr="00716F0E">
              <w:rPr>
                <w:rFonts w:ascii="Century Gothic" w:eastAsia="Calibri" w:hAnsi="Century Gothic" w:cs="Arial"/>
                <w:sz w:val="20"/>
                <w:szCs w:val="20"/>
              </w:rPr>
              <w:t>neuromonitoringu</w:t>
            </w:r>
            <w:proofErr w:type="spellEnd"/>
            <w:r w:rsidRPr="00716F0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Kolorowa kamera video Full HD, w technologii 3CCD lub CMOS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Zintegrowany system zapisu obrazów i sekwencji video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Zapis obrazów i sekwencji video – </w:t>
            </w:r>
            <w:proofErr w:type="spellStart"/>
            <w:r w:rsidRPr="00716F0E">
              <w:rPr>
                <w:rFonts w:ascii="Century Gothic" w:hAnsi="Century Gothic" w:cs="Arial"/>
                <w:sz w:val="20"/>
                <w:szCs w:val="20"/>
              </w:rPr>
              <w:t>full</w:t>
            </w:r>
            <w:proofErr w:type="spellEnd"/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 HD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2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System zarządzania danymi pacjenta – w tym przechowywanie plików pacjenta z obrazami lub sekwencjami video (np. z urządzeń diagnostycznych) bezpośrednio w pamięci operacyjnej mikroskopu z możliwością ich szybkiego podglądu na monitorze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Kolorowy monitor, klasy LCD, zintegrowany 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z mikroskopem – przekątna min. 19 [‘]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Możliwość regulacji ostrości na ekranie monitora niezależnie od ostrości w okularach mikroskopu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1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Monitor umieszczony na regulowanym ramieniu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1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Wizualizacja kontrastu ICG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8D75E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Pomiar przepływów naczyniowych w zabiegach naczyniowych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pStyle w:val="Tekstpodstawowy"/>
              <w:spacing w:after="0" w:line="288" w:lineRule="auto"/>
              <w:rPr>
                <w:rFonts w:ascii="Century Gothic" w:hAnsi="Century Gothic" w:cs="Arial"/>
                <w:sz w:val="16"/>
                <w:szCs w:val="16"/>
                <w:lang w:eastAsia="en-US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  <w:lang w:eastAsia="en-US"/>
              </w:rPr>
              <w:t>Tak – 2 pkt.</w:t>
            </w:r>
            <w:r>
              <w:rPr>
                <w:rFonts w:ascii="Century Gothic" w:hAnsi="Century Gothic" w:cs="Arial"/>
                <w:sz w:val="16"/>
                <w:szCs w:val="16"/>
                <w:lang w:eastAsia="en-US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  <w:lang w:eastAsia="en-US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Wizualizacja kontrastu z wykorzystaniem 5-ALA 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w zabiegach usunięcia </w:t>
            </w:r>
            <w:proofErr w:type="spellStart"/>
            <w:r w:rsidRPr="00716F0E">
              <w:rPr>
                <w:rFonts w:ascii="Century Gothic" w:hAnsi="Century Gothic" w:cs="Arial"/>
                <w:sz w:val="20"/>
                <w:szCs w:val="20"/>
              </w:rPr>
              <w:t>glajaków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8D75E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System odsysania powietrza z </w:t>
            </w:r>
            <w:proofErr w:type="spellStart"/>
            <w:r w:rsidRPr="00716F0E">
              <w:rPr>
                <w:rFonts w:ascii="Century Gothic" w:hAnsi="Century Gothic" w:cs="Arial"/>
                <w:sz w:val="20"/>
                <w:szCs w:val="20"/>
              </w:rPr>
              <w:t>obłożeń</w:t>
            </w:r>
            <w:proofErr w:type="spellEnd"/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 operacyjnych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pStyle w:val="Tekstpodstawowy"/>
              <w:spacing w:after="0" w:line="288" w:lineRule="auto"/>
              <w:rPr>
                <w:rFonts w:ascii="Century Gothic" w:hAnsi="Century Gothic" w:cs="Arial"/>
                <w:sz w:val="16"/>
                <w:szCs w:val="16"/>
                <w:lang w:eastAsia="en-US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  <w:lang w:eastAsia="en-US"/>
              </w:rPr>
              <w:t>Tak – 1 pkt.</w:t>
            </w:r>
            <w:r>
              <w:rPr>
                <w:rFonts w:ascii="Century Gothic" w:hAnsi="Century Gothic" w:cs="Arial"/>
                <w:sz w:val="16"/>
                <w:szCs w:val="16"/>
                <w:lang w:eastAsia="en-US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  <w:lang w:eastAsia="en-US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Pedał nożny do sterowania funkcjami mikroskopu takimi jak: zoom, fokus, regulacja natężenia światła, XY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W cenie oferty – obłożenia operacyjne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b/>
                <w:sz w:val="20"/>
                <w:szCs w:val="20"/>
              </w:rPr>
              <w:t>UWAGA:</w:t>
            </w: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16F0E">
              <w:rPr>
                <w:rFonts w:ascii="Century Gothic" w:hAnsi="Century Gothic" w:cs="Arial"/>
                <w:i/>
                <w:sz w:val="20"/>
                <w:szCs w:val="20"/>
              </w:rPr>
              <w:t xml:space="preserve">należy dostarczyć min 40 [szt.] </w:t>
            </w:r>
            <w:proofErr w:type="spellStart"/>
            <w:r w:rsidRPr="00716F0E">
              <w:rPr>
                <w:rFonts w:ascii="Century Gothic" w:hAnsi="Century Gothic" w:cs="Arial"/>
                <w:i/>
                <w:sz w:val="20"/>
                <w:szCs w:val="20"/>
              </w:rPr>
              <w:t>obłożeń</w:t>
            </w:r>
            <w:proofErr w:type="spellEnd"/>
            <w:r w:rsidRPr="00716F0E">
              <w:rPr>
                <w:rFonts w:ascii="Century Gothic" w:hAnsi="Century Gothic" w:cs="Arial"/>
                <w:i/>
                <w:sz w:val="20"/>
                <w:szCs w:val="20"/>
              </w:rPr>
              <w:t xml:space="preserve"> operacyjnych do każdego mikroskopu.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</w:tbl>
    <w:p w:rsidR="00D73EB9" w:rsidRDefault="00D73EB9" w:rsidP="00C2669F">
      <w:pPr>
        <w:spacing w:line="288" w:lineRule="auto"/>
        <w:rPr>
          <w:rFonts w:ascii="Century Gothic" w:hAnsi="Century Gothic"/>
        </w:rPr>
      </w:pPr>
    </w:p>
    <w:p w:rsidR="008A4119" w:rsidRDefault="008A4119" w:rsidP="00C2669F">
      <w:pPr>
        <w:spacing w:line="288" w:lineRule="auto"/>
        <w:rPr>
          <w:rFonts w:ascii="Century Gothic" w:hAnsi="Century Gothic"/>
        </w:rPr>
      </w:pPr>
    </w:p>
    <w:p w:rsidR="008A4119" w:rsidRPr="00C2669F" w:rsidRDefault="008A4119" w:rsidP="00C2669F">
      <w:pPr>
        <w:spacing w:line="288" w:lineRule="auto"/>
        <w:rPr>
          <w:rFonts w:ascii="Century Gothic" w:hAnsi="Century Gothic"/>
        </w:rPr>
      </w:pPr>
    </w:p>
    <w:p w:rsidR="008A4119" w:rsidRDefault="008A4119" w:rsidP="004B5E68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8A4119" w:rsidRDefault="008A4119" w:rsidP="004B5E68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4B5E68" w:rsidRDefault="00912D05" w:rsidP="004B5E68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12D05">
        <w:rPr>
          <w:rFonts w:ascii="Century Gothic" w:hAnsi="Century Gothic"/>
          <w:b/>
          <w:color w:val="000000" w:themeColor="text1"/>
          <w:sz w:val="20"/>
          <w:szCs w:val="20"/>
        </w:rPr>
        <w:lastRenderedPageBreak/>
        <w:t>Warunki gwarancji, serwisu i szkolenia</w:t>
      </w:r>
    </w:p>
    <w:p w:rsidR="00912D05" w:rsidRDefault="00912D05" w:rsidP="004B5E68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 w:rsidP="004B5E68">
            <w:pPr>
              <w:pStyle w:val="Nagwek3"/>
              <w:widowControl/>
              <w:numPr>
                <w:ilvl w:val="2"/>
                <w:numId w:val="40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wyłączeń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4B5E68" w:rsidRDefault="004B5E68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4B5E68" w:rsidRDefault="004B5E68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4B5E68" w:rsidRDefault="004B5E68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806F74" w:rsidP="00806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&gt;=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Default="004B5E68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4B5E6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Czas reakcji (dotyczy także reakcji zdalnej): „przyjęte zgłoszenie – podjęta naprawa” =&lt; 24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Zakończenie działań serwisowych – do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12D05" w:rsidTr="00912D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16 osób z możliwością podziału i szkolenia w mniejszych podgrupach) w momencie jego instalacji i odbioru; w razie potrzeby Zamawiającego, możliwość stałego wsparcia aplikacyjnego w początkowym (do 6  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7C60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912D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technicznego (min. 4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7C60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912D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informatycznego umożliwiania zdalnej diagnostyki, wymagań konferencyjnych, wpięcia urządzenia w system gromadzenia dokumentacji medycznej szpitala, diagnostyki i konfiguracji (min. 3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7C60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912D05" w:rsidRDefault="00912D05" w:rsidP="004B5E68">
            <w:pPr>
              <w:numPr>
                <w:ilvl w:val="0"/>
                <w:numId w:val="45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912D05" w:rsidRDefault="00912D05" w:rsidP="004B5E68">
            <w:pPr>
              <w:numPr>
                <w:ilvl w:val="0"/>
                <w:numId w:val="45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potrze</w:t>
            </w:r>
            <w:r w:rsidR="008A411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by, w innym terminie ustalonym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kierownikiem pracowni,</w:t>
            </w:r>
          </w:p>
          <w:p w:rsidR="00912D05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8A4119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8A411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8A411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12D05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Default="00912D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ahoma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912D05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Default="00912D05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912D05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4B5E68" w:rsidRDefault="004B5E68" w:rsidP="004B5E68">
      <w:pPr>
        <w:spacing w:after="0" w:line="288" w:lineRule="auto"/>
        <w:rPr>
          <w:rFonts w:ascii="Century Gothic" w:eastAsia="Calibri" w:hAnsi="Century Gothic" w:cs="Calibri"/>
          <w:b/>
          <w:color w:val="000000" w:themeColor="text1"/>
          <w:lang w:eastAsia="ar-SA"/>
        </w:rPr>
      </w:pPr>
    </w:p>
    <w:p w:rsidR="00D73EB9" w:rsidRPr="00C2669F" w:rsidRDefault="00D73EB9" w:rsidP="004B5E68">
      <w:pPr>
        <w:spacing w:after="0" w:line="288" w:lineRule="auto"/>
        <w:jc w:val="both"/>
        <w:rPr>
          <w:rFonts w:ascii="Century Gothic" w:hAnsi="Century Gothic"/>
          <w:b/>
        </w:rPr>
      </w:pPr>
      <w:bookmarkStart w:id="0" w:name="_GoBack"/>
      <w:bookmarkEnd w:id="0"/>
    </w:p>
    <w:sectPr w:rsidR="00D73EB9" w:rsidRPr="00C2669F" w:rsidSect="00D73EB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6E" w:rsidRDefault="00E2786E" w:rsidP="002B10C5">
      <w:pPr>
        <w:spacing w:after="0" w:line="240" w:lineRule="auto"/>
      </w:pPr>
      <w:r>
        <w:separator/>
      </w:r>
    </w:p>
  </w:endnote>
  <w:endnote w:type="continuationSeparator" w:id="0">
    <w:p w:rsidR="00E2786E" w:rsidRDefault="00E2786E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792831"/>
      <w:docPartObj>
        <w:docPartGallery w:val="Page Numbers (Bottom of Page)"/>
        <w:docPartUnique/>
      </w:docPartObj>
    </w:sdtPr>
    <w:sdtEndPr/>
    <w:sdtContent>
      <w:p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EF9">
          <w:rPr>
            <w:noProof/>
          </w:rPr>
          <w:t>14</w:t>
        </w:r>
        <w:r>
          <w:fldChar w:fldCharType="end"/>
        </w:r>
      </w:p>
    </w:sdtContent>
  </w:sdt>
  <w:p w:rsidR="000A70CE" w:rsidRPr="000A70CE" w:rsidRDefault="000A70CE" w:rsidP="000A70CE">
    <w:pPr>
      <w:widowControl w:val="0"/>
      <w:tabs>
        <w:tab w:val="left" w:pos="9214"/>
        <w:tab w:val="left" w:pos="9639"/>
      </w:tabs>
      <w:suppressAutoHyphens/>
      <w:autoSpaceDE w:val="0"/>
      <w:spacing w:after="0" w:line="240" w:lineRule="auto"/>
      <w:ind w:left="4140" w:hanging="1163"/>
      <w:jc w:val="center"/>
      <w:rPr>
        <w:rFonts w:ascii="Times New Roman" w:eastAsia="Times New Roman" w:hAnsi="Times New Roman" w:cs="Times New Roman"/>
        <w:i/>
        <w:iCs/>
        <w:sz w:val="20"/>
        <w:szCs w:val="24"/>
        <w:lang w:eastAsia="pl-PL"/>
      </w:rPr>
    </w:pPr>
    <w:r>
      <w:rPr>
        <w:rFonts w:ascii="Times New Roman" w:eastAsia="Times New Roman" w:hAnsi="Times New Roman" w:cs="Times New Roman"/>
        <w:i/>
        <w:iCs/>
        <w:sz w:val="20"/>
        <w:szCs w:val="24"/>
        <w:lang w:eastAsia="pl-PL"/>
      </w:rPr>
      <w:t xml:space="preserve">                                                    </w:t>
    </w:r>
    <w:r w:rsidRPr="000A70CE">
      <w:rPr>
        <w:rFonts w:ascii="Times New Roman" w:eastAsia="Times New Roman" w:hAnsi="Times New Roman" w:cs="Times New Roman"/>
        <w:i/>
        <w:iCs/>
        <w:sz w:val="20"/>
        <w:szCs w:val="24"/>
        <w:lang w:eastAsia="pl-PL"/>
      </w:rPr>
      <w:t>..................................................................................................................................</w:t>
    </w:r>
  </w:p>
  <w:p w:rsidR="000A70CE" w:rsidRPr="000A70CE" w:rsidRDefault="000A70CE" w:rsidP="000A70CE">
    <w:pPr>
      <w:tabs>
        <w:tab w:val="left" w:pos="9214"/>
        <w:tab w:val="left" w:pos="9639"/>
      </w:tabs>
      <w:spacing w:after="0" w:line="240" w:lineRule="auto"/>
      <w:ind w:left="3686"/>
      <w:jc w:val="center"/>
      <w:rPr>
        <w:rFonts w:ascii="Times New Roman" w:eastAsia="Times New Roman" w:hAnsi="Times New Roman" w:cs="Times New Roman"/>
        <w:bCs/>
        <w:i/>
        <w:iCs/>
        <w:sz w:val="18"/>
        <w:szCs w:val="18"/>
        <w:lang w:eastAsia="pl-PL"/>
      </w:rPr>
    </w:pPr>
    <w:r w:rsidRPr="000A70CE">
      <w:rPr>
        <w:rFonts w:ascii="Times New Roman" w:eastAsia="Times New Roman" w:hAnsi="Times New Roman" w:cs="Times New Roman"/>
        <w:i/>
        <w:iCs/>
        <w:sz w:val="18"/>
        <w:szCs w:val="18"/>
        <w:lang w:eastAsia="pl-PL"/>
      </w:rPr>
      <w:t xml:space="preserve">                                                    podpis i pieczęć osoby (osób) upoważnionej do reprezentowania Wykonawcy</w:t>
    </w:r>
  </w:p>
  <w:p w:rsidR="002B10C5" w:rsidRDefault="002B10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6E" w:rsidRDefault="00E2786E" w:rsidP="002B10C5">
      <w:pPr>
        <w:spacing w:after="0" w:line="240" w:lineRule="auto"/>
      </w:pPr>
      <w:r>
        <w:separator/>
      </w:r>
    </w:p>
  </w:footnote>
  <w:footnote w:type="continuationSeparator" w:id="0">
    <w:p w:rsidR="00E2786E" w:rsidRDefault="00E2786E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19" w:rsidRDefault="008A4119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E1DABD4" wp14:editId="1355C13B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70CE" w:rsidRPr="000A70CE" w:rsidRDefault="008A4119" w:rsidP="008A4119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 w:rsidR="000A70CE" w:rsidRPr="000A70CE">
      <w:rPr>
        <w:sz w:val="18"/>
        <w:szCs w:val="18"/>
      </w:rPr>
      <w:t>Załącznik nr 1a do specyfikacji</w:t>
    </w:r>
  </w:p>
  <w:p w:rsidR="000A70CE" w:rsidRPr="000A70CE" w:rsidRDefault="000A70CE" w:rsidP="000A70CE">
    <w:pPr>
      <w:pStyle w:val="Nagwek"/>
      <w:rPr>
        <w:sz w:val="18"/>
        <w:szCs w:val="18"/>
      </w:rPr>
    </w:pPr>
    <w:r>
      <w:rPr>
        <w:sz w:val="18"/>
        <w:szCs w:val="18"/>
      </w:rPr>
      <w:t xml:space="preserve">    NSSU.DFP.271.3.2018.BZ                                                                                                                                                                                       </w:t>
    </w:r>
    <w:r w:rsidRPr="000A70CE">
      <w:rPr>
        <w:sz w:val="18"/>
        <w:szCs w:val="18"/>
      </w:rPr>
      <w:t>Załącznik nr…..…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4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9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7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1"/>
  </w:num>
  <w:num w:numId="6">
    <w:abstractNumId w:val="25"/>
  </w:num>
  <w:num w:numId="7">
    <w:abstractNumId w:val="10"/>
  </w:num>
  <w:num w:numId="8">
    <w:abstractNumId w:val="9"/>
  </w:num>
  <w:num w:numId="9">
    <w:abstractNumId w:val="20"/>
  </w:num>
  <w:num w:numId="10">
    <w:abstractNumId w:val="13"/>
  </w:num>
  <w:num w:numId="11">
    <w:abstractNumId w:val="33"/>
  </w:num>
  <w:num w:numId="12">
    <w:abstractNumId w:val="14"/>
  </w:num>
  <w:num w:numId="13">
    <w:abstractNumId w:val="28"/>
  </w:num>
  <w:num w:numId="14">
    <w:abstractNumId w:val="36"/>
  </w:num>
  <w:num w:numId="15">
    <w:abstractNumId w:val="29"/>
  </w:num>
  <w:num w:numId="16">
    <w:abstractNumId w:val="35"/>
  </w:num>
  <w:num w:numId="17">
    <w:abstractNumId w:val="6"/>
  </w:num>
  <w:num w:numId="18">
    <w:abstractNumId w:val="0"/>
  </w:num>
  <w:num w:numId="19">
    <w:abstractNumId w:val="31"/>
  </w:num>
  <w:num w:numId="20">
    <w:abstractNumId w:val="15"/>
  </w:num>
  <w:num w:numId="21">
    <w:abstractNumId w:val="22"/>
  </w:num>
  <w:num w:numId="22">
    <w:abstractNumId w:val="27"/>
  </w:num>
  <w:num w:numId="23">
    <w:abstractNumId w:val="39"/>
  </w:num>
  <w:num w:numId="24">
    <w:abstractNumId w:val="11"/>
  </w:num>
  <w:num w:numId="25">
    <w:abstractNumId w:val="19"/>
  </w:num>
  <w:num w:numId="26">
    <w:abstractNumId w:val="16"/>
  </w:num>
  <w:num w:numId="27">
    <w:abstractNumId w:val="17"/>
  </w:num>
  <w:num w:numId="28">
    <w:abstractNumId w:val="41"/>
  </w:num>
  <w:num w:numId="29">
    <w:abstractNumId w:val="7"/>
  </w:num>
  <w:num w:numId="30">
    <w:abstractNumId w:val="34"/>
  </w:num>
  <w:num w:numId="31">
    <w:abstractNumId w:val="30"/>
  </w:num>
  <w:num w:numId="32">
    <w:abstractNumId w:val="37"/>
  </w:num>
  <w:num w:numId="33">
    <w:abstractNumId w:val="40"/>
  </w:num>
  <w:num w:numId="34">
    <w:abstractNumId w:val="32"/>
  </w:num>
  <w:num w:numId="35">
    <w:abstractNumId w:val="12"/>
  </w:num>
  <w:num w:numId="36">
    <w:abstractNumId w:val="5"/>
  </w:num>
  <w:num w:numId="37">
    <w:abstractNumId w:val="38"/>
  </w:num>
  <w:num w:numId="38">
    <w:abstractNumId w:val="4"/>
  </w:num>
  <w:num w:numId="39">
    <w:abstractNumId w:val="24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18"/>
  </w:num>
  <w:num w:numId="44">
    <w:abstractNumId w:val="2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62621"/>
    <w:rsid w:val="00082567"/>
    <w:rsid w:val="000872C6"/>
    <w:rsid w:val="000A01C5"/>
    <w:rsid w:val="000A42E2"/>
    <w:rsid w:val="000A70CE"/>
    <w:rsid w:val="00106FA1"/>
    <w:rsid w:val="00140F74"/>
    <w:rsid w:val="00153000"/>
    <w:rsid w:val="00195D24"/>
    <w:rsid w:val="00226290"/>
    <w:rsid w:val="00226C7E"/>
    <w:rsid w:val="002B10C5"/>
    <w:rsid w:val="002B7EF9"/>
    <w:rsid w:val="002E7641"/>
    <w:rsid w:val="0031723C"/>
    <w:rsid w:val="0035006A"/>
    <w:rsid w:val="003502EB"/>
    <w:rsid w:val="003816D4"/>
    <w:rsid w:val="00386BDE"/>
    <w:rsid w:val="00420195"/>
    <w:rsid w:val="00430D65"/>
    <w:rsid w:val="00431206"/>
    <w:rsid w:val="004537A6"/>
    <w:rsid w:val="004A3639"/>
    <w:rsid w:val="004A4815"/>
    <w:rsid w:val="004B5E68"/>
    <w:rsid w:val="00505CFB"/>
    <w:rsid w:val="0055762C"/>
    <w:rsid w:val="00595A76"/>
    <w:rsid w:val="00617EC5"/>
    <w:rsid w:val="006309BF"/>
    <w:rsid w:val="00716F0E"/>
    <w:rsid w:val="007475D7"/>
    <w:rsid w:val="007B4693"/>
    <w:rsid w:val="007D2398"/>
    <w:rsid w:val="008028E8"/>
    <w:rsid w:val="00806F74"/>
    <w:rsid w:val="008146EE"/>
    <w:rsid w:val="00852D15"/>
    <w:rsid w:val="00877102"/>
    <w:rsid w:val="008A4119"/>
    <w:rsid w:val="008A7106"/>
    <w:rsid w:val="008E4B96"/>
    <w:rsid w:val="00912D05"/>
    <w:rsid w:val="009319E1"/>
    <w:rsid w:val="0093379E"/>
    <w:rsid w:val="00984712"/>
    <w:rsid w:val="009B0ED9"/>
    <w:rsid w:val="00A37445"/>
    <w:rsid w:val="00A8133F"/>
    <w:rsid w:val="00AF7709"/>
    <w:rsid w:val="00B009C9"/>
    <w:rsid w:val="00B33D13"/>
    <w:rsid w:val="00B72884"/>
    <w:rsid w:val="00B935A3"/>
    <w:rsid w:val="00B95922"/>
    <w:rsid w:val="00BD6659"/>
    <w:rsid w:val="00BE7B7B"/>
    <w:rsid w:val="00C10E44"/>
    <w:rsid w:val="00C2669F"/>
    <w:rsid w:val="00C62F9D"/>
    <w:rsid w:val="00C64C0B"/>
    <w:rsid w:val="00C75220"/>
    <w:rsid w:val="00D73EB9"/>
    <w:rsid w:val="00D93C7F"/>
    <w:rsid w:val="00DA12A3"/>
    <w:rsid w:val="00DA1FA2"/>
    <w:rsid w:val="00DC7F16"/>
    <w:rsid w:val="00E2786E"/>
    <w:rsid w:val="00E50DAF"/>
    <w:rsid w:val="00E50E99"/>
    <w:rsid w:val="00EA6DEC"/>
    <w:rsid w:val="00EC6DB9"/>
    <w:rsid w:val="00EC7C3F"/>
    <w:rsid w:val="00EF3E66"/>
    <w:rsid w:val="00F34EF1"/>
    <w:rsid w:val="00F65B8E"/>
    <w:rsid w:val="00FA2BC1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8A86-C87D-43B3-969E-0B9E9064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1949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Ziajka</cp:lastModifiedBy>
  <cp:revision>7</cp:revision>
  <cp:lastPrinted>2018-01-24T09:28:00Z</cp:lastPrinted>
  <dcterms:created xsi:type="dcterms:W3CDTF">2018-01-25T12:19:00Z</dcterms:created>
  <dcterms:modified xsi:type="dcterms:W3CDTF">2018-01-30T09:24:00Z</dcterms:modified>
</cp:coreProperties>
</file>