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F4FB7" w:rsidRPr="00C66520" w14:paraId="75ADB8D8" w14:textId="77777777" w:rsidTr="002F4FB7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9AA709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 w:cstheme="minorBidi"/>
                <w:b/>
                <w:kern w:val="3"/>
                <w:sz w:val="20"/>
                <w:szCs w:val="20"/>
                <w:lang w:eastAsia="zh-CN"/>
              </w:rPr>
            </w:pPr>
            <w:bookmarkStart w:id="0" w:name="_Hlk6143199"/>
            <w:r w:rsidRPr="00C66520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  <w:p w14:paraId="2C06CAEE" w14:textId="77777777" w:rsidR="004A1C9C" w:rsidRPr="009E555B" w:rsidRDefault="004A1C9C" w:rsidP="009E555B">
            <w:pPr>
              <w:jc w:val="center"/>
              <w:rPr>
                <w:rFonts w:ascii="Century Gothic" w:hAnsi="Century Gothic"/>
                <w:spacing w:val="-6"/>
                <w:sz w:val="20"/>
                <w:szCs w:val="20"/>
              </w:rPr>
            </w:pPr>
            <w:r w:rsidRPr="009E555B">
              <w:rPr>
                <w:rFonts w:ascii="Century Gothic" w:eastAsia="Times New Roman" w:hAnsi="Century Gothic" w:cstheme="minorHAnsi"/>
                <w:b/>
                <w:spacing w:val="-6"/>
                <w:kern w:val="3"/>
                <w:sz w:val="20"/>
                <w:szCs w:val="20"/>
                <w:lang w:eastAsia="zh-CN"/>
              </w:rPr>
              <w:t>Dostawa dodatkowego wyposażenia  aparatów do radioterapii: Cyberknife i Radixact wraz z instalacją, uruchomieniem i szkoleniem personelu</w:t>
            </w:r>
          </w:p>
          <w:p w14:paraId="1BA3CAF4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24993E3E" w14:textId="77777777" w:rsidR="002F4FB7" w:rsidRPr="00C66520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u w:val="single"/>
          <w:lang w:eastAsia="zh-CN" w:bidi="hi-IN"/>
        </w:rPr>
      </w:pPr>
    </w:p>
    <w:p w14:paraId="25F58919" w14:textId="77777777" w:rsidR="002F4FB7" w:rsidRPr="00C66520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u w:val="single"/>
          <w:lang w:eastAsia="zh-CN" w:bidi="hi-IN"/>
        </w:rPr>
        <w:t>Uwagi i objaśnienia</w:t>
      </w: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:</w:t>
      </w:r>
    </w:p>
    <w:p w14:paraId="57993CE0" w14:textId="77777777" w:rsidR="002F4FB7" w:rsidRPr="00C66520" w:rsidRDefault="002F4FB7" w:rsidP="00C66520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2CC15171" w14:textId="77777777" w:rsidR="002F4FB7" w:rsidRPr="00C66520" w:rsidRDefault="002F4FB7" w:rsidP="00C66520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14:paraId="0F5E1D64" w14:textId="77777777" w:rsidR="002F4FB7" w:rsidRPr="00C66520" w:rsidRDefault="002F4FB7" w:rsidP="00C66520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289A47CB" w14:textId="77777777" w:rsidR="002F4FB7" w:rsidRPr="00C66520" w:rsidRDefault="002F4FB7" w:rsidP="00C66520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41C0EEA5" w14:textId="77777777" w:rsidR="002F4FB7" w:rsidRPr="00C66520" w:rsidRDefault="002F4FB7" w:rsidP="00C66520">
      <w:pPr>
        <w:numPr>
          <w:ilvl w:val="0"/>
          <w:numId w:val="1"/>
        </w:numPr>
        <w:suppressAutoHyphens/>
        <w:autoSpaceDN w:val="0"/>
        <w:spacing w:after="120" w:line="288" w:lineRule="auto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Wykonawca gwarantuje niniejszym, że sprzęt jest fabrycznie nowy (rok produkcji: nie wcześniej niż 2021),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  <w:bookmarkStart w:id="1" w:name="_GoBack"/>
      <w:bookmarkEnd w:id="1"/>
    </w:p>
    <w:p w14:paraId="218FF6C0" w14:textId="77777777" w:rsidR="002F4FB7" w:rsidRPr="00C66520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2AF9F02E" w14:textId="77777777" w:rsidR="002F4FB7" w:rsidRPr="009E555B" w:rsidRDefault="002F4FB7" w:rsidP="00C66520">
      <w:pPr>
        <w:tabs>
          <w:tab w:val="left" w:pos="8985"/>
        </w:tabs>
        <w:spacing w:line="288" w:lineRule="auto"/>
        <w:rPr>
          <w:rFonts w:ascii="Century Gothic" w:hAnsi="Century Gothic"/>
          <w:b/>
          <w:sz w:val="20"/>
          <w:szCs w:val="20"/>
        </w:rPr>
      </w:pPr>
      <w:r w:rsidRPr="009E555B">
        <w:rPr>
          <w:rFonts w:ascii="Century Gothic" w:hAnsi="Century Gothic"/>
          <w:b/>
          <w:sz w:val="20"/>
          <w:szCs w:val="20"/>
        </w:rPr>
        <w:t>Część 1 –</w:t>
      </w:r>
      <w:r w:rsidR="00EA7465" w:rsidRPr="009E555B">
        <w:rPr>
          <w:rFonts w:ascii="Century Gothic" w:hAnsi="Century Gothic"/>
          <w:b/>
          <w:sz w:val="20"/>
          <w:szCs w:val="20"/>
        </w:rPr>
        <w:t xml:space="preserve"> wyposażenie dozymetryczne</w:t>
      </w:r>
    </w:p>
    <w:p w14:paraId="517FD2AD" w14:textId="77777777" w:rsidR="00204150" w:rsidRPr="00C66520" w:rsidRDefault="00204150" w:rsidP="00C66520">
      <w:pPr>
        <w:tabs>
          <w:tab w:val="left" w:pos="8985"/>
        </w:tabs>
        <w:spacing w:line="288" w:lineRule="auto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6227"/>
        <w:gridCol w:w="1276"/>
        <w:gridCol w:w="5843"/>
      </w:tblGrid>
      <w:tr w:rsidR="002F4FB7" w:rsidRPr="00C66520" w14:paraId="00382059" w14:textId="77777777" w:rsidTr="00EA7465">
        <w:trPr>
          <w:trHeight w:val="5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C21901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461341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5D80ED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27D58B" w14:textId="7153C3C4" w:rsidR="002F4FB7" w:rsidRPr="00C66520" w:rsidRDefault="002F4FB7" w:rsidP="008854E5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 w:rsidR="008854E5" w:rsidRPr="00C66520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6520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brutto (w zł)</w:t>
            </w:r>
          </w:p>
        </w:tc>
      </w:tr>
      <w:tr w:rsidR="00EA7465" w:rsidRPr="00EA7465" w14:paraId="51CA1C7B" w14:textId="77777777" w:rsidTr="00EA7465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3DAA90" w14:textId="77777777" w:rsidR="00EA7465" w:rsidRPr="00EA7465" w:rsidRDefault="00EA7465" w:rsidP="00A845E1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EA7465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C4FA94" w14:textId="77777777" w:rsidR="00EA7465" w:rsidRPr="00EA7465" w:rsidRDefault="00EA7465" w:rsidP="00A845E1">
            <w:pPr>
              <w:spacing w:line="288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EA7465">
              <w:rPr>
                <w:rFonts w:ascii="Century Gothic" w:hAnsi="Century Gothic" w:cs="Arial"/>
                <w:sz w:val="20"/>
                <w:szCs w:val="20"/>
              </w:rPr>
              <w:t>System do weryfikacji dozymetrycznej planów leczenia w aparacie do tomoterapii – Radixact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CDE4AE" w14:textId="77777777" w:rsidR="00EA7465" w:rsidRPr="00EA7465" w:rsidRDefault="00EA7465" w:rsidP="00A845E1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EA7465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C3E5" w14:textId="77777777" w:rsidR="00EA7465" w:rsidRPr="00EA7465" w:rsidRDefault="00EA7465" w:rsidP="00A845E1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EA7465" w:rsidRPr="00EA7465" w14:paraId="2D52D842" w14:textId="77777777" w:rsidTr="00EA7465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B370ED" w14:textId="77777777" w:rsidR="00EA7465" w:rsidRPr="00EA7465" w:rsidRDefault="00EA7465" w:rsidP="00A845E1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EA7465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00108F" w14:textId="77777777" w:rsidR="00EA7465" w:rsidRPr="00EA7465" w:rsidRDefault="00EA7465" w:rsidP="00A845E1">
            <w:pPr>
              <w:spacing w:line="288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EA7465">
              <w:rPr>
                <w:rFonts w:ascii="Century Gothic" w:eastAsia="Times New Roman" w:hAnsi="Century Gothic" w:cs="Arial"/>
                <w:kern w:val="2"/>
                <w:sz w:val="20"/>
                <w:szCs w:val="20"/>
                <w:lang w:eastAsia="pl-PL"/>
              </w:rPr>
              <w:t>Bezprzewodowa matryca dozymetryczna do codziennej kontroli aparatów Radixact i Cyberknife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881D55" w14:textId="77777777" w:rsidR="00EA7465" w:rsidRPr="00EA7465" w:rsidRDefault="00EA7465" w:rsidP="00A845E1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EA7465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288F" w14:textId="77777777" w:rsidR="00EA7465" w:rsidRPr="00EA7465" w:rsidRDefault="00EA7465" w:rsidP="00A845E1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5B" w:rsidRPr="00EA7465" w14:paraId="2DC9494F" w14:textId="77777777" w:rsidTr="003B0EB3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3F1B70" w14:textId="77777777" w:rsidR="009E555B" w:rsidRPr="00EA7465" w:rsidRDefault="009E555B" w:rsidP="00EA7465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EA7465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0C921F" w14:textId="77777777" w:rsidR="009E555B" w:rsidRPr="00EA7465" w:rsidRDefault="009E555B" w:rsidP="009E555B">
            <w:pPr>
              <w:spacing w:line="288" w:lineRule="auto"/>
              <w:jc w:val="right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9E555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RAZEM</w:t>
            </w: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 (lp. </w:t>
            </w:r>
            <w:r w:rsidR="003B621C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1 +</w:t>
            </w: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 2)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8176" w14:textId="77777777" w:rsidR="009E555B" w:rsidRPr="00EA7465" w:rsidRDefault="009E555B" w:rsidP="00C66520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1E0E3371" w14:textId="77777777" w:rsidR="00641D9B" w:rsidRPr="00C66520" w:rsidRDefault="00641D9B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F4FB7" w:rsidRPr="00C66520" w14:paraId="00C5E34A" w14:textId="77777777" w:rsidTr="002F4FB7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D8446E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C66520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</w:tc>
      </w:tr>
      <w:tr w:rsidR="002F4FB7" w:rsidRPr="00C66520" w14:paraId="0E20FC09" w14:textId="77777777" w:rsidTr="002F4FB7">
        <w:trPr>
          <w:trHeight w:val="643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AD519E" w14:textId="77777777" w:rsidR="002F4FB7" w:rsidRPr="00C66520" w:rsidRDefault="002F4FB7" w:rsidP="0020415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 xml:space="preserve">Część 1 – </w:t>
            </w:r>
            <w:r w:rsidR="00094C78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wyposażenie dozymetryczne</w:t>
            </w:r>
          </w:p>
        </w:tc>
      </w:tr>
    </w:tbl>
    <w:p w14:paraId="227197D9" w14:textId="77777777" w:rsidR="009E555B" w:rsidRDefault="009E555B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616"/>
      </w:tblGrid>
      <w:tr w:rsidR="009E555B" w14:paraId="7393ACF8" w14:textId="77777777" w:rsidTr="009E555B">
        <w:tc>
          <w:tcPr>
            <w:tcW w:w="3114" w:type="dxa"/>
          </w:tcPr>
          <w:p w14:paraId="7ADB2A9B" w14:textId="77777777" w:rsidR="009E555B" w:rsidRDefault="009E555B" w:rsidP="00C66520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Nazwa i typ: </w:t>
            </w:r>
          </w:p>
        </w:tc>
        <w:tc>
          <w:tcPr>
            <w:tcW w:w="3544" w:type="dxa"/>
          </w:tcPr>
          <w:p w14:paraId="44FE8727" w14:textId="77777777" w:rsidR="009E555B" w:rsidRDefault="009E555B" w:rsidP="00C66520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……………………………………………</w:t>
            </w:r>
          </w:p>
        </w:tc>
      </w:tr>
      <w:tr w:rsidR="009E555B" w14:paraId="22947140" w14:textId="77777777" w:rsidTr="009E555B">
        <w:tc>
          <w:tcPr>
            <w:tcW w:w="3114" w:type="dxa"/>
          </w:tcPr>
          <w:p w14:paraId="035FA314" w14:textId="77777777" w:rsidR="009E555B" w:rsidRDefault="009E555B" w:rsidP="00C66520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Producent / kraj produkcji: </w:t>
            </w:r>
          </w:p>
        </w:tc>
        <w:tc>
          <w:tcPr>
            <w:tcW w:w="3544" w:type="dxa"/>
          </w:tcPr>
          <w:p w14:paraId="06FFE8D9" w14:textId="77777777" w:rsidR="009E555B" w:rsidRDefault="009E555B" w:rsidP="00C66520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……………………………………………</w:t>
            </w:r>
          </w:p>
        </w:tc>
      </w:tr>
      <w:tr w:rsidR="009E555B" w14:paraId="65837C63" w14:textId="77777777" w:rsidTr="009E555B">
        <w:tc>
          <w:tcPr>
            <w:tcW w:w="3114" w:type="dxa"/>
          </w:tcPr>
          <w:p w14:paraId="33C9625E" w14:textId="77777777" w:rsidR="009E555B" w:rsidRDefault="009E555B" w:rsidP="00C66520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Rok produkcji (min. 2021):  </w:t>
            </w:r>
          </w:p>
        </w:tc>
        <w:tc>
          <w:tcPr>
            <w:tcW w:w="3544" w:type="dxa"/>
          </w:tcPr>
          <w:p w14:paraId="4FCF79E1" w14:textId="77777777" w:rsidR="009E555B" w:rsidRDefault="009E555B" w:rsidP="00C66520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……………………………………………</w:t>
            </w:r>
          </w:p>
        </w:tc>
      </w:tr>
      <w:tr w:rsidR="009E555B" w14:paraId="2E53E0EB" w14:textId="77777777" w:rsidTr="009E555B">
        <w:tc>
          <w:tcPr>
            <w:tcW w:w="3114" w:type="dxa"/>
          </w:tcPr>
          <w:p w14:paraId="0047BF08" w14:textId="77777777" w:rsidR="009E555B" w:rsidRDefault="009E555B" w:rsidP="00C66520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Klasa wyrobu medycznego</w:t>
            </w:r>
          </w:p>
        </w:tc>
        <w:tc>
          <w:tcPr>
            <w:tcW w:w="3544" w:type="dxa"/>
          </w:tcPr>
          <w:p w14:paraId="5B7839F2" w14:textId="77777777" w:rsidR="009E555B" w:rsidRDefault="009E555B" w:rsidP="00C66520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……………………………………………</w:t>
            </w:r>
          </w:p>
        </w:tc>
      </w:tr>
      <w:tr w:rsidR="009E555B" w14:paraId="1FB0C2B4" w14:textId="77777777" w:rsidTr="009E555B">
        <w:tc>
          <w:tcPr>
            <w:tcW w:w="3114" w:type="dxa"/>
          </w:tcPr>
          <w:p w14:paraId="62E85DBA" w14:textId="77777777" w:rsidR="009E555B" w:rsidRPr="00C66520" w:rsidRDefault="009E555B" w:rsidP="00C66520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544" w:type="dxa"/>
          </w:tcPr>
          <w:p w14:paraId="076097EB" w14:textId="77777777" w:rsidR="009E555B" w:rsidRDefault="009E555B" w:rsidP="00C66520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2F4FB7" w:rsidRPr="00C66520" w14:paraId="7C0AB9D7" w14:textId="77777777" w:rsidTr="009E555B">
        <w:tc>
          <w:tcPr>
            <w:tcW w:w="1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2CEF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PARAMETRY TECHNICZNE I EKSPLOATACYJNE</w:t>
            </w:r>
          </w:p>
        </w:tc>
      </w:tr>
    </w:tbl>
    <w:p w14:paraId="42887853" w14:textId="77777777" w:rsidR="002F4FB7" w:rsidRPr="00C66520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6943"/>
        <w:gridCol w:w="1786"/>
        <w:gridCol w:w="3031"/>
        <w:gridCol w:w="2126"/>
      </w:tblGrid>
      <w:tr w:rsidR="002F4FB7" w:rsidRPr="00C66520" w14:paraId="7FB7C17A" w14:textId="77777777" w:rsidTr="009E5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087CCE84" w14:textId="77777777" w:rsidR="002F4FB7" w:rsidRPr="009E555B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9E555B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4092" w14:textId="77777777" w:rsidR="002F4FB7" w:rsidRPr="009E555B" w:rsidRDefault="002F4FB7" w:rsidP="00347B4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9E555B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OPIS PARAMETRU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F7BB" w14:textId="77777777" w:rsidR="002F4FB7" w:rsidRPr="009E555B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9E555B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PARAMETR WYMAGANY/</w:t>
            </w:r>
            <w:r w:rsidR="009E555B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br/>
            </w:r>
            <w:r w:rsidRPr="009E555B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WARTOŚĆ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A0D7" w14:textId="77777777" w:rsidR="002F4FB7" w:rsidRPr="009E555B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9E555B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PARAMETR OFEROWANY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4521" w14:textId="77777777" w:rsidR="002F4FB7" w:rsidRPr="009E555B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9E555B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SPOSÓB OCENY</w:t>
            </w:r>
          </w:p>
        </w:tc>
      </w:tr>
      <w:tr w:rsidR="00EA7465" w:rsidRPr="00EA7465" w14:paraId="3C62B7F1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651E4" w14:textId="77777777" w:rsidR="00EA7465" w:rsidRPr="00EA7465" w:rsidRDefault="00EA7465" w:rsidP="00EA746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7007950" w14:textId="77777777" w:rsidR="00EA7465" w:rsidRPr="00EA7465" w:rsidRDefault="00EA7465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b/>
                <w:sz w:val="20"/>
                <w:szCs w:val="20"/>
              </w:rPr>
              <w:t>System do weryfikacji dozymetrycznej planów leczenia w aparacie do tomoterapii – Radixact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3AB19A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BC3BFC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656009F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7465" w:rsidRPr="00C66520" w14:paraId="00B4B19B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376CC5" w14:textId="77777777" w:rsidR="00EA7465" w:rsidRPr="00EA7465" w:rsidRDefault="00EA7465" w:rsidP="00EA746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354A1B4" w14:textId="77777777" w:rsidR="00EA7465" w:rsidRPr="00EA7465" w:rsidRDefault="00EA7465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sz w:val="20"/>
                <w:szCs w:val="20"/>
              </w:rPr>
              <w:t>System umożliwia</w:t>
            </w:r>
            <w:r>
              <w:rPr>
                <w:rFonts w:ascii="Century Gothic" w:hAnsi="Century Gothic" w:cs="Arial"/>
                <w:sz w:val="20"/>
                <w:szCs w:val="20"/>
              </w:rPr>
              <w:t>jący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 przeprowadzenie pomiarów dozymetrycznych zgodności planów leczenia realizowanych w technice dynamicznej helikalnej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CC2B97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B11859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BFFD5AA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EA7465" w:rsidRPr="00C66520" w14:paraId="1792D731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0E286E" w14:textId="77777777" w:rsidR="00EA7465" w:rsidRPr="00EA7465" w:rsidRDefault="00EA7465" w:rsidP="00EA746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D31C260" w14:textId="77777777" w:rsidR="00EA7465" w:rsidRPr="00EA7465" w:rsidRDefault="00EA7465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sz w:val="20"/>
                <w:szCs w:val="20"/>
              </w:rPr>
              <w:t>System umożliwia</w:t>
            </w:r>
            <w:r>
              <w:rPr>
                <w:rFonts w:ascii="Century Gothic" w:hAnsi="Century Gothic" w:cs="Arial"/>
                <w:sz w:val="20"/>
                <w:szCs w:val="20"/>
              </w:rPr>
              <w:t>jący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 pomiary i ocenę planów leczenia przygotowanych w technikach dynamicznych (VMAT)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FACDFC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BCE3F6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1821CAD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EA7465" w:rsidRPr="00C66520" w14:paraId="47A4E327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62B12" w14:textId="77777777" w:rsidR="00EA7465" w:rsidRPr="00EA7465" w:rsidRDefault="00EA7465" w:rsidP="00EA746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FBF3B30" w14:textId="77777777" w:rsidR="00EA7465" w:rsidRPr="00EA7465" w:rsidRDefault="00EA7465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sz w:val="20"/>
                <w:szCs w:val="20"/>
              </w:rPr>
              <w:t>System umożliwia</w:t>
            </w:r>
            <w:r>
              <w:rPr>
                <w:rFonts w:ascii="Century Gothic" w:hAnsi="Century Gothic" w:cs="Arial"/>
                <w:sz w:val="20"/>
                <w:szCs w:val="20"/>
              </w:rPr>
              <w:t>jący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 pomiary wiązek fotonowych z filtrem spłaszczającym o energii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min. 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od 6 MV do 15 MV oraz wiązek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min. 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>od 4 do 10 MV bez filtra spłaszczającego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4E7EC6" w14:textId="77777777" w:rsidR="00EA7465" w:rsidRPr="00EA7465" w:rsidRDefault="00094C78" w:rsidP="00EA746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</w:t>
            </w:r>
            <w:r w:rsidR="00EA7465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ak</w:t>
            </w: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623FB5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032CB0F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EA7465" w:rsidRPr="00C66520" w14:paraId="27DB1DDF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AB2DCE" w14:textId="77777777" w:rsidR="00EA7465" w:rsidRPr="00EA7465" w:rsidRDefault="00EA7465" w:rsidP="00EA746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108FB20" w14:textId="77777777" w:rsidR="00EA7465" w:rsidRPr="00EA7465" w:rsidRDefault="00EA7465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sz w:val="20"/>
                <w:szCs w:val="20"/>
              </w:rPr>
              <w:t>System umożliwia</w:t>
            </w:r>
            <w:r>
              <w:rPr>
                <w:rFonts w:ascii="Century Gothic" w:hAnsi="Century Gothic" w:cs="Arial"/>
                <w:sz w:val="20"/>
                <w:szCs w:val="20"/>
              </w:rPr>
              <w:t>jący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 pomiary dawki wejściowej i wyjściowej oraz pełną rekonstrukcję dawki 3D i Beam Eye View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96B273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48A59E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E066EF3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EA7465" w:rsidRPr="00C66520" w14:paraId="077B1AF3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5B354" w14:textId="77777777" w:rsidR="00EA7465" w:rsidRPr="00EA7465" w:rsidRDefault="00EA7465" w:rsidP="00EA746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78D63A7" w14:textId="77777777" w:rsidR="00EA7465" w:rsidRPr="00EA7465" w:rsidRDefault="00EA7465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atryca o cylindrycznej budowie 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34B1BE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93A914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1CA430D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EA7465" w:rsidRPr="00C66520" w14:paraId="5182996F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C58BDC" w14:textId="77777777" w:rsidR="00EA7465" w:rsidRPr="00EA7465" w:rsidRDefault="00EA7465" w:rsidP="00EA746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D933782" w14:textId="77777777" w:rsidR="00EA7465" w:rsidRPr="00EA7465" w:rsidRDefault="00EA7465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sz w:val="20"/>
                <w:szCs w:val="20"/>
              </w:rPr>
              <w:t>System wykonany z materiału o gęstości zbliżonej do 1 g/cm3, układ pomiarowy oparty na detektorach półprzewodnikowych o czułości nie mniejszej niż 30 nC/Gy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C56618" w14:textId="77777777" w:rsidR="00EA7465" w:rsidRPr="00EA7465" w:rsidRDefault="00094C78" w:rsidP="00EA746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</w:t>
            </w:r>
            <w:r w:rsidR="00EA7465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ak</w:t>
            </w: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EA87E8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E6C72F2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EA7465" w:rsidRPr="00C66520" w14:paraId="4892093F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452A57" w14:textId="77777777" w:rsidR="00EA7465" w:rsidRPr="00EA7465" w:rsidRDefault="00EA7465" w:rsidP="00EA746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A761E79" w14:textId="77777777" w:rsidR="00EA7465" w:rsidRPr="00EA7465" w:rsidRDefault="00EA7465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Liczba detektorów półprzewodnikowych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- min.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 1300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7C041D" w14:textId="77777777" w:rsidR="00EA7465" w:rsidRPr="00EA7465" w:rsidRDefault="00094C78" w:rsidP="00EA746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</w:t>
            </w:r>
            <w:r w:rsidR="00EA7465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ak</w:t>
            </w: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B6A58D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9F9E3F8" w14:textId="77777777" w:rsidR="00EA7465" w:rsidRPr="009E555B" w:rsidRDefault="00EA7465" w:rsidP="00EA746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</w:pPr>
            <w:r w:rsidRPr="009E555B"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42AB8174" w14:textId="77777777" w:rsidR="00EA7465" w:rsidRPr="009E555B" w:rsidRDefault="00EA7465" w:rsidP="00EA746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</w:pPr>
            <w:r w:rsidRPr="009E555B"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  <w:t>Wyższa niż wymagana – 2 pkt.</w:t>
            </w:r>
          </w:p>
        </w:tc>
      </w:tr>
      <w:tr w:rsidR="00094C78" w:rsidRPr="00C66520" w14:paraId="7DC4C851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798204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17D9BE9" w14:textId="77777777" w:rsidR="00094C78" w:rsidRPr="00EA7465" w:rsidRDefault="00094C78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sz w:val="20"/>
                <w:szCs w:val="20"/>
              </w:rPr>
              <w:t>Powierzchnia aktywna pojedynczego detektora 0,64 mm</w:t>
            </w:r>
            <w:r w:rsidRPr="00EA7465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Century Gothic" w:hAnsi="Century Gothic" w:cs="Arial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Century Gothic" w:hAnsi="Century Gothic" w:cs="Arial"/>
                <w:sz w:val="20"/>
                <w:szCs w:val="20"/>
              </w:rPr>
              <w:t>(+/- 1 %)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D305ED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970520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8AC8706" w14:textId="77777777" w:rsidR="00094C78" w:rsidRPr="009E555B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6"/>
                <w:kern w:val="3"/>
                <w:sz w:val="20"/>
                <w:szCs w:val="20"/>
                <w:lang w:eastAsia="zh-CN" w:bidi="hi-IN"/>
              </w:rPr>
            </w:pPr>
            <w:r w:rsidRPr="009E555B">
              <w:rPr>
                <w:rFonts w:ascii="Century Gothic" w:eastAsia="Lucida Sans Unicode" w:hAnsi="Century Gothic"/>
                <w:spacing w:val="-6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094C78" w:rsidRPr="00C66520" w14:paraId="634A4812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5D526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F0EC0E2" w14:textId="77777777" w:rsidR="00094C78" w:rsidRPr="00EA7465" w:rsidRDefault="00094C78" w:rsidP="00347B43">
            <w:pPr>
              <w:snapToGrid w:val="0"/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sz w:val="20"/>
                <w:szCs w:val="20"/>
              </w:rPr>
              <w:t>Pomiar dawki w czasie rzeczywistym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0A9325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BBA6D1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DFB787D" w14:textId="77777777" w:rsidR="00094C78" w:rsidRPr="009E555B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6"/>
                <w:kern w:val="3"/>
                <w:sz w:val="20"/>
                <w:szCs w:val="20"/>
                <w:lang w:eastAsia="zh-CN" w:bidi="hi-IN"/>
              </w:rPr>
            </w:pPr>
            <w:r w:rsidRPr="009E555B">
              <w:rPr>
                <w:rFonts w:ascii="Century Gothic" w:eastAsia="Lucida Sans Unicode" w:hAnsi="Century Gothic"/>
                <w:spacing w:val="-6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094C78" w:rsidRPr="00C66520" w14:paraId="35FD3648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BD3B3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7B548DA" w14:textId="77777777" w:rsidR="00094C78" w:rsidRPr="00EA7465" w:rsidRDefault="00094C78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Średnica matrycy </w:t>
            </w:r>
            <w:r>
              <w:rPr>
                <w:rFonts w:ascii="Century Gothic" w:hAnsi="Century Gothic" w:cs="Arial"/>
                <w:sz w:val="20"/>
                <w:szCs w:val="20"/>
              </w:rPr>
              <w:t>– min. 20 cm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B8B056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517E41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9654122" w14:textId="77777777" w:rsidR="00094C78" w:rsidRPr="009E555B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</w:pPr>
            <w:r w:rsidRPr="009E555B"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0C806DB3" w14:textId="77777777" w:rsidR="00094C78" w:rsidRPr="009E555B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</w:pPr>
            <w:r w:rsidRPr="009E555B"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  <w:t xml:space="preserve">Wyższa niż </w:t>
            </w:r>
            <w:r w:rsidR="009E555B"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  <w:t>wymagana –</w:t>
            </w:r>
            <w:r w:rsidRPr="009E555B"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  <w:t>2 pkt.</w:t>
            </w:r>
          </w:p>
        </w:tc>
      </w:tr>
      <w:tr w:rsidR="00094C78" w:rsidRPr="00C66520" w14:paraId="7089EA9C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84238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3B144EC" w14:textId="77777777" w:rsidR="00094C78" w:rsidRPr="00EA7465" w:rsidRDefault="00094C78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Wielkość pola pomiarowego </w:t>
            </w:r>
            <w:r>
              <w:rPr>
                <w:rFonts w:ascii="Century Gothic" w:hAnsi="Century Gothic" w:cs="Arial"/>
                <w:sz w:val="20"/>
                <w:szCs w:val="20"/>
              </w:rPr>
              <w:t>min.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 20 cm x 20 cm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ADDEC4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47AE31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FF24EFD" w14:textId="77777777" w:rsidR="00094C78" w:rsidRPr="009E555B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</w:pPr>
            <w:r w:rsidRPr="009E555B"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6DCD1ACC" w14:textId="77777777" w:rsidR="00094C78" w:rsidRPr="009E555B" w:rsidRDefault="009E555B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  <w:t>Wyższa niż wymagana –</w:t>
            </w:r>
            <w:r w:rsidR="00094C78" w:rsidRPr="009E555B"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  <w:t>2 pkt.</w:t>
            </w:r>
          </w:p>
        </w:tc>
      </w:tr>
      <w:tr w:rsidR="00094C78" w:rsidRPr="00C66520" w14:paraId="619DA19E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A4F17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EB91F44" w14:textId="77777777" w:rsidR="00094C78" w:rsidRPr="00EA7465" w:rsidRDefault="00094C78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Odległość pomiędzy detektorami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=&lt; 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>1 cm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F13B8F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86BE35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73BC841" w14:textId="77777777" w:rsidR="00094C78" w:rsidRPr="009E555B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</w:pPr>
            <w:r w:rsidRPr="009E555B"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6B7E26A6" w14:textId="77777777" w:rsidR="00094C78" w:rsidRPr="009E555B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</w:pPr>
            <w:r w:rsidRPr="009E555B"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  <w:t>niższa niż wymagana – 2 pkt.</w:t>
            </w:r>
          </w:p>
        </w:tc>
      </w:tr>
      <w:tr w:rsidR="00094C78" w:rsidRPr="00C66520" w14:paraId="309A7BB0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E1937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A2A45A0" w14:textId="77777777" w:rsidR="00094C78" w:rsidRPr="00EA7465" w:rsidRDefault="00094C78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sz w:val="20"/>
                <w:szCs w:val="20"/>
              </w:rPr>
              <w:t>System umożliwia</w:t>
            </w:r>
            <w:r>
              <w:rPr>
                <w:rFonts w:ascii="Century Gothic" w:hAnsi="Century Gothic" w:cs="Arial"/>
                <w:sz w:val="20"/>
                <w:szCs w:val="20"/>
              </w:rPr>
              <w:t>jący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 rekonstrukcję dawki na podstawie dwóch łączonych pomiarów – dla większych pól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BDBB4F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C7714F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552B299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094C78" w:rsidRPr="00C66520" w14:paraId="4246B0F4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87DC31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41701B1" w14:textId="77777777" w:rsidR="00094C78" w:rsidRPr="00EA7465" w:rsidRDefault="00094C78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sz w:val="20"/>
                <w:szCs w:val="20"/>
              </w:rPr>
              <w:t>System umożliwia</w:t>
            </w:r>
            <w:r>
              <w:rPr>
                <w:rFonts w:ascii="Century Gothic" w:hAnsi="Century Gothic" w:cs="Arial"/>
                <w:sz w:val="20"/>
                <w:szCs w:val="20"/>
              </w:rPr>
              <w:t>jący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 pomiary dla wiązek FFF 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A8BE7D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A09D6D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9C4142D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094C78" w:rsidRPr="00C66520" w14:paraId="5F71F9A2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FF653C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CDB6FD5" w14:textId="77777777" w:rsidR="00094C78" w:rsidRPr="00EA7465" w:rsidRDefault="00094C78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sz w:val="20"/>
                <w:szCs w:val="20"/>
              </w:rPr>
              <w:t>System umożliwia pomiar krzywej Hounsfielda do systemu planowania leczenia w niżej wymienionych punktach: mózg, kości, pierś, wątroba, płuca, tkanka mięśniowa, tkanka tłuszczowa, tytan, woda, powietrze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5E31B1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A5420B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7E38BAB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094C78" w:rsidRPr="00C66520" w14:paraId="4BC4F9A9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2A5E0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9225D09" w14:textId="77777777" w:rsidR="00094C78" w:rsidRPr="00EA7465" w:rsidRDefault="00094C78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sz w:val="20"/>
                <w:szCs w:val="20"/>
              </w:rPr>
              <w:t>System umożliwia</w:t>
            </w:r>
            <w:r>
              <w:rPr>
                <w:rFonts w:ascii="Century Gothic" w:hAnsi="Century Gothic" w:cs="Arial"/>
                <w:sz w:val="20"/>
                <w:szCs w:val="20"/>
              </w:rPr>
              <w:t>jący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 dodatkowy pomiar zewnętrzną cylindryczną komorą jonizacyjną w części centralnej fantomu (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uwaga - 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>komora nie jest przedmiotem zamówienia)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581A3C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F31BDB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58072E8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094C78" w:rsidRPr="00C66520" w14:paraId="4A202576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AA97E4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191FB51" w14:textId="77777777" w:rsidR="00094C78" w:rsidRPr="00EA7465" w:rsidRDefault="00094C78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sz w:val="20"/>
                <w:szCs w:val="20"/>
              </w:rPr>
              <w:t>Oprogramowanie do analizy rozkładów dawki 3D oraz DVH w geometrii pacjenta.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632512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920ACA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3B4CCC4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094C78" w:rsidRPr="00C66520" w14:paraId="5452A43D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4A0ACA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98CC8F1" w14:textId="77777777" w:rsidR="00094C78" w:rsidRPr="00EA7465" w:rsidRDefault="00094C78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sz w:val="20"/>
                <w:szCs w:val="20"/>
              </w:rPr>
              <w:t>Oprogramowanie do importu danych z systemu planowania leczenia oraz do oceny zgodności planów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058C0E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DAF25D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E90CE99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094C78" w:rsidRPr="00C66520" w14:paraId="095DD620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739E24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B8686B8" w14:textId="77777777" w:rsidR="00094C78" w:rsidRPr="00EA7465" w:rsidRDefault="00094C78" w:rsidP="00347B43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sz w:val="20"/>
                <w:szCs w:val="20"/>
              </w:rPr>
              <w:t>Szybka instalacja fantomu za pomocą jednego kabla sygnałowo - zasilającego łączącego matrycę ze sterownikiem znajdującym się poza pomieszc</w:t>
            </w:r>
            <w:r>
              <w:rPr>
                <w:rFonts w:ascii="Century Gothic" w:hAnsi="Century Gothic" w:cs="Arial"/>
                <w:sz w:val="20"/>
                <w:szCs w:val="20"/>
              </w:rPr>
              <w:t>zeniem bunkra - długość kabla:  min.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 25</w:t>
            </w:r>
            <w:r w:rsidR="00347B4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>m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EB312B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C9E1EA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2EC96B1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094C78" w:rsidRPr="00C66520" w14:paraId="081B49B8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C4A96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6F648D6" w14:textId="77777777" w:rsidR="00094C78" w:rsidRPr="00EA7465" w:rsidRDefault="00094C78" w:rsidP="00347B43">
            <w:pPr>
              <w:spacing w:before="60" w:after="60" w:line="288" w:lineRule="auto"/>
              <w:ind w:right="74"/>
              <w:contextualSpacing/>
              <w:jc w:val="both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</w:pPr>
            <w:r w:rsidRPr="00EA7465">
              <w:rPr>
                <w:rFonts w:ascii="Century Gothic" w:eastAsia="Times New Roman" w:hAnsi="Century Gothic" w:cs="Arial"/>
                <w:b/>
                <w:kern w:val="2"/>
                <w:sz w:val="20"/>
                <w:szCs w:val="20"/>
                <w:lang w:eastAsia="pl-PL"/>
              </w:rPr>
              <w:t>Bezprzewodowa matryca dozymetryczna do codziennej kontroli aparatów Radixact i Cyberknife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552CC2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A2E158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2ABE920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94C78" w:rsidRPr="00C66520" w14:paraId="348E501B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7CA33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C44BC66" w14:textId="77777777" w:rsidR="00094C78" w:rsidRPr="00EA7465" w:rsidRDefault="00094C78" w:rsidP="00347B43">
            <w:pPr>
              <w:spacing w:before="60" w:after="60" w:line="288" w:lineRule="auto"/>
              <w:ind w:right="74"/>
              <w:contextualSpacing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EA746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Matryca umożliwia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jąca</w:t>
            </w:r>
            <w:r w:rsidRPr="00EA746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codzienną kontrolę jakości pracy aparatów</w:t>
            </w:r>
            <w:r w:rsidRPr="00EA746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A746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Radixact i CyberKnife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FC85E6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A99150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9386BD9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094C78" w:rsidRPr="00C66520" w14:paraId="1CAC47D3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A3E157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408B605" w14:textId="77777777" w:rsidR="00094C78" w:rsidRPr="00EA7465" w:rsidRDefault="00094C78" w:rsidP="00347B43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46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Informacja o pozytywnym wyniku testu wyświetlana na matrycy bezpośrednio po pomiarze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3BE1D8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53D10B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38767F8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094C78" w:rsidRPr="00C66520" w14:paraId="30A73CF6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4C1C02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ADB2E9A" w14:textId="77777777" w:rsidR="00094C78" w:rsidRPr="00EA7465" w:rsidRDefault="00094C78" w:rsidP="00347B43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46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Rodzaj detektora: komora jonizacyjna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97946E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25E235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F63BF1A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094C78" w:rsidRPr="00C66520" w14:paraId="252F2B45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A6E3B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8C37E23" w14:textId="77777777" w:rsidR="00094C78" w:rsidRPr="00EA7465" w:rsidRDefault="00094C78" w:rsidP="00347B43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46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Możliwość pomiaru wiązek fotonowych o energii do 25 MV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CAE11B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2A7ADD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0B830A6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094C78" w:rsidRPr="00C66520" w14:paraId="5D877F7D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9BBD2D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AB52948" w14:textId="77777777" w:rsidR="00094C78" w:rsidRPr="00EA7465" w:rsidRDefault="00094C78" w:rsidP="00347B43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46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Możliwość pomiaru elektronów o energii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min. </w:t>
            </w:r>
            <w:r w:rsidRPr="00EA746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od 6 MeV do 25 MeV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FDA95E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573884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51FF0BA" w14:textId="77777777" w:rsidR="00094C78" w:rsidRPr="00094C78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094C78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Zakres wymagany – 1 pkt.</w:t>
            </w:r>
          </w:p>
          <w:p w14:paraId="2562E211" w14:textId="77777777" w:rsidR="00094C78" w:rsidRPr="00094C78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094C78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Wyższy niż wymagany – 2 pkt.</w:t>
            </w:r>
          </w:p>
        </w:tc>
      </w:tr>
      <w:tr w:rsidR="00094C78" w:rsidRPr="00C66520" w14:paraId="3A94878E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32CC08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1CA1EC7" w14:textId="77777777" w:rsidR="00094C78" w:rsidRPr="00EA7465" w:rsidRDefault="0083499E" w:rsidP="00347B43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</w:t>
            </w:r>
            <w:r w:rsidR="00094C78" w:rsidRPr="00EA746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naczniki do oceny dokładności ustawienia laserów pozycjunujących w aparacie Radixact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0BAA43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EA7465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8F8A62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1BC945E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EA7465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094C78" w:rsidRPr="00C66520" w14:paraId="3024A6D8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12F46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71F755B" w14:textId="77777777" w:rsidR="00094C78" w:rsidRPr="00EA7465" w:rsidRDefault="0083499E" w:rsidP="00347B43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</w:t>
            </w:r>
            <w:r w:rsidR="00094C78" w:rsidRPr="00EA746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integrowane z matrycą znaczniki do jej pozycjonowania na aparacie CyberKnife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E617AC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EA7465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2705BD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E13FEDA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EA7465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094C78" w:rsidRPr="00C66520" w14:paraId="33E8A199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218869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67AD2BF" w14:textId="77777777" w:rsidR="00094C78" w:rsidRPr="00EA7465" w:rsidRDefault="00094C78" w:rsidP="00347B43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46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Oprogramowanie umożliwiające generowania raportów z wykonywanych pomiarów 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F3E8D8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EA7465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3858D1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4B44C87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EA7465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094C78" w:rsidRPr="00C66520" w14:paraId="39711F03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8C3A27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49FE69F" w14:textId="77777777" w:rsidR="00094C78" w:rsidRPr="00EA7465" w:rsidRDefault="00094C78" w:rsidP="00347B43">
            <w:pPr>
              <w:spacing w:line="288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b/>
                <w:sz w:val="20"/>
                <w:szCs w:val="20"/>
              </w:rPr>
              <w:t>Inne aspekty (środowiskowe, społeczne, innowacyjne)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5F56B9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8EE5CE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612C736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94C78" w:rsidRPr="00C66520" w14:paraId="6254BB88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F7900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391D6B5" w14:textId="77777777" w:rsidR="00094C78" w:rsidRPr="00EA7465" w:rsidRDefault="00CF76BB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Możliwość automatycznego przechodzenia w tryb czuwania/niskiego poboru mocy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E6B233" w14:textId="77777777" w:rsidR="00094C78" w:rsidRPr="00EA7465" w:rsidRDefault="00CF76BB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4F1D34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B202317" w14:textId="77777777" w:rsidR="00094C78" w:rsidRPr="0083499E" w:rsidRDefault="00CF76BB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</w:pPr>
            <w:r w:rsidRPr="0083499E"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  <w:t>Dla całego zestawu – 3 pkt.</w:t>
            </w:r>
          </w:p>
          <w:p w14:paraId="7AEF02F7" w14:textId="77777777" w:rsidR="00CF76BB" w:rsidRPr="0083499E" w:rsidRDefault="00CF76BB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</w:pPr>
            <w:r w:rsidRPr="0083499E"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  <w:t>Dla wybranych elementów (wymienić których) -1 pkt.</w:t>
            </w:r>
          </w:p>
          <w:p w14:paraId="3E51C739" w14:textId="77777777" w:rsidR="00CF76BB" w:rsidRPr="00EA7465" w:rsidRDefault="00CF76BB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83499E"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  <w:t>Brak – 0 pkt.</w:t>
            </w:r>
          </w:p>
        </w:tc>
      </w:tr>
      <w:tr w:rsidR="00094C78" w:rsidRPr="00C66520" w14:paraId="49AF9882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AB4AD6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162EC4E" w14:textId="77777777" w:rsidR="00094C78" w:rsidRDefault="00CF76BB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Aspekty innowacyjne dla systemu z poz.1:</w:t>
            </w:r>
          </w:p>
          <w:p w14:paraId="3B1029C7" w14:textId="77777777" w:rsidR="00CF76BB" w:rsidRDefault="00CF76BB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- matryca o 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>budowie odzwierciedlając</w:t>
            </w:r>
            <w:r>
              <w:rPr>
                <w:rFonts w:ascii="Century Gothic" w:hAnsi="Century Gothic" w:cs="Arial"/>
                <w:sz w:val="20"/>
                <w:szCs w:val="20"/>
              </w:rPr>
              <w:t>ej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 kształt pacjenta</w:t>
            </w:r>
            <w:r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  <w:p w14:paraId="761F8F08" w14:textId="77777777" w:rsidR="00CF76BB" w:rsidRDefault="00CF76BB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 s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>ystem umożliwia</w:t>
            </w:r>
            <w:r>
              <w:rPr>
                <w:rFonts w:ascii="Century Gothic" w:hAnsi="Century Gothic" w:cs="Arial"/>
                <w:sz w:val="20"/>
                <w:szCs w:val="20"/>
              </w:rPr>
              <w:t>jący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 pomiar kąta gantry bez użycia zewnętrznego inklinometru</w:t>
            </w:r>
            <w:r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  <w:p w14:paraId="33BF1AA5" w14:textId="77777777" w:rsidR="00CF76BB" w:rsidRPr="00EA7465" w:rsidRDefault="00CF76BB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 r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>egulowana podstawa umożliwiająca precyzyjne pozycjonowanie matrycy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6E05C8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EA7465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E09B54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BB3BEE8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EA7465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094C78" w:rsidRPr="00C66520" w14:paraId="0695F0F7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7A7EFA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6662F2A" w14:textId="77777777" w:rsidR="00CF76BB" w:rsidRDefault="00CF76BB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Aspekty innowacyjne dla </w:t>
            </w:r>
            <w:r w:rsidR="00347B43">
              <w:rPr>
                <w:rFonts w:ascii="Century Gothic" w:hAnsi="Century Gothic" w:cs="Arial"/>
                <w:sz w:val="20"/>
                <w:szCs w:val="20"/>
              </w:rPr>
              <w:t>matrycy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z poz. 2</w:t>
            </w:r>
            <w:r w:rsidR="00347B43">
              <w:rPr>
                <w:rFonts w:ascii="Century Gothic" w:hAnsi="Century Gothic" w:cs="Arial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14:paraId="392C18ED" w14:textId="77777777" w:rsidR="00CF76BB" w:rsidRDefault="00CF76BB" w:rsidP="00347B43">
            <w:pPr>
              <w:spacing w:line="288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- 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</w:t>
            </w:r>
            <w:r w:rsidRPr="00EA746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ożliwość wykonania pomiarów bez użycia przewodów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6BC51E8D" w14:textId="77777777" w:rsidR="00094C78" w:rsidRPr="00EA7465" w:rsidRDefault="00CF76BB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 f</w:t>
            </w:r>
            <w:r w:rsidRPr="00EA746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unkcja automatycznego wykrywania energii promieniowania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31FAFE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EA7465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7687D1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A45107A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EA7465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</w:tbl>
    <w:p w14:paraId="4149E2A3" w14:textId="77777777" w:rsidR="002F4FB7" w:rsidRPr="00C66520" w:rsidRDefault="002F4FB7" w:rsidP="00C66520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2F4FB7" w:rsidRPr="00C66520" w14:paraId="6B50FB28" w14:textId="77777777" w:rsidTr="00641D9B">
        <w:tc>
          <w:tcPr>
            <w:tcW w:w="1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55D0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</w:tbl>
    <w:p w14:paraId="1CC00B45" w14:textId="77777777" w:rsidR="002F4FB7" w:rsidRPr="00C66520" w:rsidRDefault="002F4FB7" w:rsidP="00C66520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6943"/>
        <w:gridCol w:w="1558"/>
        <w:gridCol w:w="3204"/>
        <w:gridCol w:w="2181"/>
      </w:tblGrid>
      <w:tr w:rsidR="002F4FB7" w:rsidRPr="00C66520" w14:paraId="3FCFA55A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1289" w14:textId="77777777" w:rsidR="002F4FB7" w:rsidRPr="009E555B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9E555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br w:type="page"/>
            </w:r>
            <w:r w:rsidRPr="009E555B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DBA5" w14:textId="77777777" w:rsidR="002F4FB7" w:rsidRPr="009E555B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9E555B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OPIS PARAMETRU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4CE5" w14:textId="77777777" w:rsidR="002F4FB7" w:rsidRPr="009E555B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9E555B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PARAMETR WYMAGANY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9BB9" w14:textId="77777777" w:rsidR="002F4FB7" w:rsidRPr="009E555B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9E555B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PARAMETR OFEROWANY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DA54" w14:textId="77777777" w:rsidR="002F4FB7" w:rsidRPr="009E555B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9E555B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SPOSÓB OCENY</w:t>
            </w:r>
          </w:p>
        </w:tc>
      </w:tr>
      <w:tr w:rsidR="002F4FB7" w:rsidRPr="00C66520" w14:paraId="3388D950" w14:textId="77777777" w:rsidTr="0083499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07498F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C0F3" w14:textId="77777777" w:rsidR="002F4FB7" w:rsidRPr="00204150" w:rsidRDefault="002F4FB7" w:rsidP="00C66520">
            <w:pPr>
              <w:widowControl w:val="0"/>
              <w:tabs>
                <w:tab w:val="left" w:pos="0"/>
              </w:tabs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GWARANCJE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077C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2C1EC0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8B82" w14:textId="77777777" w:rsidR="002F4FB7" w:rsidRPr="00204150" w:rsidRDefault="002F4FB7" w:rsidP="00C66520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2F4FB7" w:rsidRPr="00C66520" w14:paraId="566CE241" w14:textId="77777777" w:rsidTr="0083499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0598CC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8F92" w14:textId="77777777" w:rsidR="002F4FB7" w:rsidRPr="00204150" w:rsidRDefault="002F4FB7" w:rsidP="00C66520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Okres pełnej, bez wyłączeń gwarancji dla wszystkich zaoferowanych elementów wraz z urządzeniami peryferyjnymi (jeśli dotyczy)[liczba miesięcy]</w:t>
            </w:r>
          </w:p>
          <w:p w14:paraId="3A679620" w14:textId="77777777" w:rsidR="002F4FB7" w:rsidRPr="00204150" w:rsidRDefault="002F4FB7" w:rsidP="00C66520">
            <w:pPr>
              <w:snapToGrid w:val="0"/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32F72B68" w14:textId="77777777" w:rsidR="002F4FB7" w:rsidRPr="00204150" w:rsidRDefault="002F4FB7" w:rsidP="00C66520">
            <w:pPr>
              <w:widowControl w:val="0"/>
              <w:suppressAutoHyphens/>
              <w:spacing w:line="288" w:lineRule="auto"/>
              <w:jc w:val="both"/>
              <w:rPr>
                <w:rFonts w:ascii="Century Gothic" w:hAnsi="Century Gothic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204150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Zamawiający zastrzega, że górną granicą punktacji gwarancji będzie 60 miesięcy.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1031" w14:textId="77777777" w:rsidR="002F4FB7" w:rsidRPr="00204150" w:rsidRDefault="00273873" w:rsidP="00C66520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=&gt; 24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FF18B8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1A6C" w14:textId="77777777" w:rsidR="002F4FB7" w:rsidRPr="0083499E" w:rsidRDefault="002F4FB7" w:rsidP="0083499E">
            <w:pPr>
              <w:snapToGrid w:val="0"/>
              <w:spacing w:line="288" w:lineRule="auto"/>
              <w:jc w:val="both"/>
              <w:rPr>
                <w:rFonts w:ascii="Century Gothic" w:hAnsi="Century Gothic"/>
                <w:color w:val="000000"/>
                <w:spacing w:val="-6"/>
                <w:sz w:val="16"/>
                <w:szCs w:val="16"/>
                <w:lang w:eastAsia="ar-SA"/>
              </w:rPr>
            </w:pPr>
            <w:r w:rsidRPr="0083499E">
              <w:rPr>
                <w:rFonts w:ascii="Century Gothic" w:hAnsi="Century Gothic"/>
                <w:b/>
                <w:color w:val="000000"/>
                <w:spacing w:val="-6"/>
                <w:sz w:val="16"/>
                <w:szCs w:val="16"/>
              </w:rPr>
              <w:t>Najdłuższy okres</w:t>
            </w:r>
            <w:r w:rsidRPr="0083499E">
              <w:rPr>
                <w:rFonts w:ascii="Century Gothic" w:hAnsi="Century Gothic"/>
                <w:color w:val="000000"/>
                <w:spacing w:val="-6"/>
                <w:sz w:val="16"/>
                <w:szCs w:val="16"/>
              </w:rPr>
              <w:t xml:space="preserve"> –    10 pkt.;</w:t>
            </w:r>
          </w:p>
          <w:p w14:paraId="3C5650F7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3499E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Inne</w:t>
            </w:r>
            <w:r w:rsidRPr="0083499E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– proporcjonalnie mniej względem najdłuższego okresu</w:t>
            </w: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</w:tc>
      </w:tr>
      <w:tr w:rsidR="002F4FB7" w:rsidRPr="00C66520" w14:paraId="4919842E" w14:textId="77777777" w:rsidTr="0083499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30BF3E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6905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A0D5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38F82D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A64C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04814780" w14:textId="77777777" w:rsidTr="0083499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0B8FE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D1C6" w14:textId="77777777" w:rsidR="002F4FB7" w:rsidRPr="00204150" w:rsidRDefault="002F4FB7" w:rsidP="00C66520">
            <w:pPr>
              <w:widowControl w:val="0"/>
              <w:tabs>
                <w:tab w:val="left" w:pos="0"/>
              </w:tabs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692D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38D1CC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288B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4AC3A67F" w14:textId="77777777" w:rsidTr="0083499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0AC4D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E5A8" w14:textId="77777777" w:rsidR="002F4FB7" w:rsidRPr="00204150" w:rsidRDefault="002F4FB7" w:rsidP="00C66520">
            <w:pPr>
              <w:widowControl w:val="0"/>
              <w:tabs>
                <w:tab w:val="left" w:pos="0"/>
              </w:tabs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WARUNKI SERWISU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3638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D5FA88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F45E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2F4FB7" w:rsidRPr="00C66520" w14:paraId="46491C09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722A3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B283" w14:textId="77777777" w:rsidR="002F4FB7" w:rsidRPr="00204150" w:rsidRDefault="002F4FB7" w:rsidP="00C66520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</w:t>
            </w:r>
          </w:p>
          <w:p w14:paraId="1BC529A1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B763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BA501E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722E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233AD4A1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5707D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68D8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DCA4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9865EE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39F3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371A30F5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FBE48E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DAAD" w14:textId="77777777" w:rsidR="002F4FB7" w:rsidRPr="00204150" w:rsidRDefault="002F4FB7" w:rsidP="00C66520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Czas reakcji (dotyczy także reakcji zdalnej): „przyjęte zgłoszenie – </w:t>
            </w: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 xml:space="preserve">podjęta naprawa” =&lt; </w:t>
            </w:r>
            <w:r w:rsidRPr="00204150">
              <w:rPr>
                <w:rFonts w:ascii="Century Gothic" w:hAnsi="Century Gothic"/>
                <w:sz w:val="20"/>
                <w:szCs w:val="20"/>
              </w:rPr>
              <w:t>48</w:t>
            </w: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[godz.]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F671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7B0D7E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5656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55CBCE99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4E978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587E" w14:textId="77777777" w:rsidR="002F4FB7" w:rsidRPr="00204150" w:rsidRDefault="002F4FB7" w:rsidP="00C66520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A095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055790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E436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16D50A85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19B67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6D66" w14:textId="77777777" w:rsidR="002F4FB7" w:rsidRPr="00204150" w:rsidRDefault="002F4FB7" w:rsidP="00C66520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B7A0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E9393C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90E8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78315DD9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015BEC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2AC6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Zakończenie działań serwisowych – do </w:t>
            </w:r>
            <w:r w:rsidRPr="00204150">
              <w:rPr>
                <w:rFonts w:ascii="Century Gothic" w:hAnsi="Century Gothic"/>
                <w:sz w:val="20"/>
                <w:szCs w:val="20"/>
              </w:rPr>
              <w:t xml:space="preserve">5 </w:t>
            </w: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dni roboczych od dnia zgłoszenia awarii, a w przypadku konieczności importu części zamiennych, nie dłuższym niż </w:t>
            </w:r>
            <w:r w:rsidRPr="00204150">
              <w:rPr>
                <w:rFonts w:ascii="Century Gothic" w:hAnsi="Century Gothic"/>
                <w:sz w:val="20"/>
                <w:szCs w:val="20"/>
              </w:rPr>
              <w:t>10</w:t>
            </w:r>
            <w:r w:rsidRPr="0020415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dni roboczych od dnia zgłoszenia awarii.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D70E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7807ED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191E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2DA0B17A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EA58C0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8E98" w14:textId="77777777" w:rsidR="002F4FB7" w:rsidRPr="00204150" w:rsidRDefault="002F4FB7" w:rsidP="00C66520">
            <w:pPr>
              <w:widowControl w:val="0"/>
              <w:tabs>
                <w:tab w:val="left" w:pos="0"/>
              </w:tabs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5D0B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506AB4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50F6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0F68DFA2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C5736F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2233" w14:textId="77777777" w:rsidR="002F4FB7" w:rsidRPr="00204150" w:rsidRDefault="002F4FB7" w:rsidP="00C66520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Sprzęt/y </w:t>
            </w:r>
            <w:r w:rsidR="00CF71C4" w:rsidRPr="00204150">
              <w:rPr>
                <w:rFonts w:ascii="Century Gothic" w:hAnsi="Century Gothic"/>
                <w:color w:val="000000"/>
                <w:sz w:val="20"/>
                <w:szCs w:val="20"/>
              </w:rPr>
              <w:t>nie posiadają zabezpieczeń</w:t>
            </w: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które po upływie gwarancji utrudniałyby Zamawiającemu dostęp do </w:t>
            </w:r>
            <w:r w:rsidR="00CF71C4" w:rsidRPr="00204150">
              <w:rPr>
                <w:rFonts w:ascii="Century Gothic" w:hAnsi="Century Gothic"/>
                <w:color w:val="000000"/>
                <w:sz w:val="20"/>
                <w:szCs w:val="20"/>
              </w:rPr>
              <w:t>podstawowych czynności serwisowych</w:t>
            </w: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przez inny niż Wykonawca umowy podmiot, w przypadku nie korzystania przez zamawiającego z serwisu pogwarancyjnego Wykonawcy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ACD5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A94AF6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8235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6228BA82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57FC0E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7362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SZKOLENIA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6FB0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F97ACA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9F00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</w:tr>
      <w:tr w:rsidR="002F4FB7" w:rsidRPr="00C66520" w14:paraId="75082646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80290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3963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sz w:val="20"/>
                <w:szCs w:val="20"/>
              </w:rPr>
              <w:t>Szkolenia dla personelu  medycznego z za</w:t>
            </w:r>
            <w:r w:rsidR="00CF76BB">
              <w:rPr>
                <w:rFonts w:ascii="Century Gothic" w:hAnsi="Century Gothic"/>
                <w:sz w:val="20"/>
                <w:szCs w:val="20"/>
              </w:rPr>
              <w:t>kresu obsługi urządzenia (min. 2</w:t>
            </w:r>
            <w:r w:rsidRPr="00204150">
              <w:rPr>
                <w:rFonts w:ascii="Century Gothic" w:hAnsi="Century Gothic"/>
                <w:sz w:val="20"/>
                <w:szCs w:val="20"/>
              </w:rPr>
              <w:t xml:space="preserve"> osoby z możliwością podziału i szkolenia w mniejszych podgrupach) w momencie jego instalacji i odbioru; w razie potrzeby Zamawiającego, możliwość stałego wsparcia aplikacyjnego w początkowym (do 6 -ciu miesięcy) okresie pracy urządzeń </w:t>
            </w:r>
            <w:r w:rsidRPr="00204150">
              <w:rPr>
                <w:rFonts w:ascii="Century Gothic" w:hAnsi="Century Gothic"/>
                <w:sz w:val="20"/>
                <w:szCs w:val="20"/>
              </w:rPr>
              <w:lastRenderedPageBreak/>
              <w:t>(dodatkowe szkolenie, dodatkowa grupa osób, konsultacje, itp.)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5418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C4015A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8B13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78FD2368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B14B7B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97DC" w14:textId="77777777" w:rsidR="002F4FB7" w:rsidRPr="00204150" w:rsidRDefault="00CF71C4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bCs/>
                <w:sz w:val="20"/>
                <w:szCs w:val="20"/>
              </w:rPr>
              <w:t>Szkolenia dla personelu technicznego (pracownicy Działu Aparatury – min. 2 osoby) z zakresu diagnostyki stanu technicznego i wykonywania podstawowych czynności konserwacyjnych, naprawczych i przeglądowych; w razie potrzeby możliwość stałego wsparcia aplikacyjnego w początkowym okresie pracy urządzeń (dodatkowe szkolenie, dodatkowa grupa osób, konsultacje, itp.) – potwierdzone certyfikatem”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9528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EE0F40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DD80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651D2B8B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4378E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1648" w14:textId="77777777" w:rsidR="002F4FB7" w:rsidRPr="00204150" w:rsidRDefault="002F4FB7" w:rsidP="00C66520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Liczba i okres szkoleń:</w:t>
            </w:r>
          </w:p>
          <w:p w14:paraId="53A79DE0" w14:textId="77777777" w:rsidR="002F4FB7" w:rsidRPr="0083499E" w:rsidRDefault="002F4FB7" w:rsidP="0083499E">
            <w:pPr>
              <w:numPr>
                <w:ilvl w:val="0"/>
                <w:numId w:val="4"/>
              </w:numPr>
              <w:tabs>
                <w:tab w:val="num" w:pos="307"/>
              </w:tabs>
              <w:spacing w:line="288" w:lineRule="auto"/>
              <w:ind w:left="0" w:firstLine="0"/>
              <w:jc w:val="both"/>
              <w:rPr>
                <w:rFonts w:ascii="Century Gothic" w:hAnsi="Century Gothic"/>
                <w:color w:val="000000"/>
                <w:spacing w:val="-10"/>
                <w:sz w:val="20"/>
                <w:szCs w:val="20"/>
                <w:lang w:eastAsia="en-US"/>
              </w:rPr>
            </w:pPr>
            <w:r w:rsidRPr="0083499E">
              <w:rPr>
                <w:rFonts w:ascii="Century Gothic" w:hAnsi="Century Gothic"/>
                <w:color w:val="000000"/>
                <w:spacing w:val="-10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60606C6B" w14:textId="77777777" w:rsidR="002F4FB7" w:rsidRPr="0083499E" w:rsidRDefault="002F4FB7" w:rsidP="0083499E">
            <w:pPr>
              <w:numPr>
                <w:ilvl w:val="0"/>
                <w:numId w:val="4"/>
              </w:numPr>
              <w:tabs>
                <w:tab w:val="num" w:pos="307"/>
              </w:tabs>
              <w:spacing w:line="288" w:lineRule="auto"/>
              <w:ind w:left="0" w:firstLine="0"/>
              <w:jc w:val="both"/>
              <w:rPr>
                <w:rFonts w:ascii="Century Gothic" w:hAnsi="Century Gothic"/>
                <w:color w:val="000000"/>
                <w:spacing w:val="-10"/>
                <w:sz w:val="20"/>
                <w:szCs w:val="20"/>
              </w:rPr>
            </w:pPr>
            <w:r w:rsidRPr="0083499E">
              <w:rPr>
                <w:rFonts w:ascii="Century Gothic" w:hAnsi="Century Gothic"/>
                <w:color w:val="000000"/>
                <w:spacing w:val="-10"/>
                <w:sz w:val="20"/>
                <w:szCs w:val="20"/>
              </w:rPr>
              <w:t>dodatkowe, w razie potrzeby, w innym terminie ustalonym z kierownikiem pracowni,</w:t>
            </w:r>
          </w:p>
          <w:p w14:paraId="6E2C411A" w14:textId="77777777" w:rsidR="002F4FB7" w:rsidRPr="00204150" w:rsidRDefault="002F4FB7" w:rsidP="00C66520">
            <w:pPr>
              <w:widowControl w:val="0"/>
              <w:suppressAutoHyphens/>
              <w:spacing w:line="288" w:lineRule="auto"/>
              <w:jc w:val="both"/>
              <w:rPr>
                <w:rFonts w:ascii="Century Gothic" w:hAnsi="Century Gothic"/>
                <w:i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626E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2EE3AA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B219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2560211B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1C51C2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4648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A2AF2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9E6A3E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AEAE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</w:tr>
      <w:tr w:rsidR="002F4FB7" w:rsidRPr="00C66520" w14:paraId="03A2D0B5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2BEC1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E9EC" w14:textId="77777777" w:rsidR="002F4FB7" w:rsidRPr="00204150" w:rsidRDefault="002F4FB7" w:rsidP="00C66520">
            <w:pPr>
              <w:widowControl w:val="0"/>
              <w:suppressAutoHyphens/>
              <w:autoSpaceDE w:val="0"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EDA8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B82796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925D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04A26CDA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2D57D8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B3C4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25D2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E7A4EE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2EC7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484F3012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369187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D9EF" w14:textId="77777777" w:rsidR="002F4FB7" w:rsidRPr="00204150" w:rsidRDefault="002F4FB7" w:rsidP="00C66520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1BAA8343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UWAGA – dokumentacja musi zapewnić co najmniej pełną diagnostykę urządzenia, wykonywanie drobnych napraw, regulacji, </w:t>
            </w: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kalibracji, oraz przeglądów okresowych w standardzie wymaganym przez producenta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6838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FD261B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93BA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046062CA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F3F2CA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F777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6007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E7D78B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B1A9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43378237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A80F4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D282" w14:textId="77777777" w:rsidR="002F4FB7" w:rsidRPr="00204150" w:rsidRDefault="002F4FB7" w:rsidP="00C66520">
            <w:pPr>
              <w:widowControl w:val="0"/>
              <w:suppressAutoHyphens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6BBE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A324EF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E345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2A84C71E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8B6201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9B07" w14:textId="77777777" w:rsidR="002F4FB7" w:rsidRPr="00204150" w:rsidRDefault="002F4FB7" w:rsidP="00C66520">
            <w:pPr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6AB72D23" w14:textId="77777777" w:rsidR="002F4FB7" w:rsidRPr="00204150" w:rsidRDefault="002F4FB7" w:rsidP="00C66520">
            <w:pPr>
              <w:widowControl w:val="0"/>
              <w:suppressAutoHyphens/>
              <w:spacing w:line="288" w:lineRule="auto"/>
              <w:jc w:val="both"/>
              <w:rPr>
                <w:rFonts w:ascii="Century Gothic" w:hAnsi="Century Gothic"/>
                <w:i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9081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F350D9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6036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</w:tbl>
    <w:p w14:paraId="42D79906" w14:textId="77777777" w:rsidR="00D824B9" w:rsidRDefault="00D824B9" w:rsidP="00347B43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64164DD3" w14:textId="77777777" w:rsidR="00D824B9" w:rsidRPr="00D824B9" w:rsidRDefault="00D824B9" w:rsidP="00D824B9">
      <w:pPr>
        <w:rPr>
          <w:rFonts w:ascii="Century Gothic" w:eastAsia="Lucida Sans Unicode" w:hAnsi="Century Gothic" w:cstheme="minorBidi"/>
          <w:sz w:val="20"/>
          <w:szCs w:val="20"/>
          <w:lang w:eastAsia="zh-CN" w:bidi="hi-IN"/>
        </w:rPr>
      </w:pPr>
    </w:p>
    <w:p w14:paraId="46B47EE7" w14:textId="77777777" w:rsidR="00D824B9" w:rsidRPr="00D824B9" w:rsidRDefault="00D824B9" w:rsidP="00D824B9">
      <w:pPr>
        <w:rPr>
          <w:rFonts w:ascii="Century Gothic" w:eastAsia="Lucida Sans Unicode" w:hAnsi="Century Gothic" w:cstheme="minorBidi"/>
          <w:sz w:val="20"/>
          <w:szCs w:val="20"/>
          <w:lang w:eastAsia="zh-CN" w:bidi="hi-IN"/>
        </w:rPr>
      </w:pPr>
    </w:p>
    <w:p w14:paraId="1575494D" w14:textId="77777777" w:rsidR="00D824B9" w:rsidRPr="00D824B9" w:rsidRDefault="00D824B9" w:rsidP="00D824B9">
      <w:pPr>
        <w:rPr>
          <w:rFonts w:ascii="Century Gothic" w:eastAsia="Lucida Sans Unicode" w:hAnsi="Century Gothic" w:cstheme="minorBidi"/>
          <w:sz w:val="20"/>
          <w:szCs w:val="20"/>
          <w:lang w:eastAsia="zh-CN" w:bidi="hi-IN"/>
        </w:rPr>
      </w:pPr>
    </w:p>
    <w:p w14:paraId="4F89B93B" w14:textId="77777777" w:rsidR="00D824B9" w:rsidRPr="00D824B9" w:rsidRDefault="00D824B9" w:rsidP="00D824B9">
      <w:pPr>
        <w:rPr>
          <w:rFonts w:ascii="Century Gothic" w:eastAsia="Lucida Sans Unicode" w:hAnsi="Century Gothic" w:cstheme="minorBidi"/>
          <w:sz w:val="20"/>
          <w:szCs w:val="20"/>
          <w:lang w:eastAsia="zh-CN" w:bidi="hi-IN"/>
        </w:rPr>
      </w:pPr>
    </w:p>
    <w:p w14:paraId="7193F75B" w14:textId="77777777" w:rsidR="00D824B9" w:rsidRPr="00D824B9" w:rsidRDefault="00D824B9" w:rsidP="00D824B9">
      <w:pPr>
        <w:rPr>
          <w:rFonts w:ascii="Century Gothic" w:eastAsia="Lucida Sans Unicode" w:hAnsi="Century Gothic" w:cstheme="minorBidi"/>
          <w:sz w:val="20"/>
          <w:szCs w:val="20"/>
          <w:lang w:eastAsia="zh-CN" w:bidi="hi-IN"/>
        </w:rPr>
      </w:pPr>
    </w:p>
    <w:p w14:paraId="54853F9D" w14:textId="77777777" w:rsidR="00D824B9" w:rsidRDefault="00D824B9" w:rsidP="00D824B9">
      <w:pPr>
        <w:rPr>
          <w:rFonts w:ascii="Century Gothic" w:eastAsia="Lucida Sans Unicode" w:hAnsi="Century Gothic" w:cstheme="minorBidi"/>
          <w:sz w:val="20"/>
          <w:szCs w:val="20"/>
          <w:lang w:eastAsia="zh-CN" w:bidi="hi-IN"/>
        </w:rPr>
      </w:pPr>
    </w:p>
    <w:p w14:paraId="16E6570F" w14:textId="77777777" w:rsidR="00D824B9" w:rsidRPr="0041360E" w:rsidRDefault="00D824B9" w:rsidP="00D824B9">
      <w:pPr>
        <w:tabs>
          <w:tab w:val="left" w:pos="9214"/>
          <w:tab w:val="left" w:pos="9356"/>
        </w:tabs>
        <w:jc w:val="right"/>
        <w:rPr>
          <w:rFonts w:ascii="Garamond" w:hAnsi="Garamond" w:cs="Arial"/>
          <w:i/>
          <w:sz w:val="22"/>
          <w:szCs w:val="22"/>
        </w:rPr>
      </w:pPr>
      <w:r w:rsidRPr="0041360E">
        <w:rPr>
          <w:rFonts w:ascii="Garamond" w:hAnsi="Garamond"/>
          <w:i/>
          <w:sz w:val="22"/>
          <w:szCs w:val="22"/>
        </w:rPr>
        <w:t>podpis osoby (osób) upoważnionej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41360E">
        <w:rPr>
          <w:rFonts w:ascii="Garamond" w:hAnsi="Garamond"/>
          <w:i/>
          <w:sz w:val="22"/>
          <w:szCs w:val="22"/>
        </w:rPr>
        <w:t>do reprezentowania Wykonawcy</w:t>
      </w:r>
    </w:p>
    <w:p w14:paraId="1DA698F1" w14:textId="77777777" w:rsidR="002F4FB7" w:rsidRPr="00D824B9" w:rsidRDefault="002F4FB7" w:rsidP="00D824B9">
      <w:pPr>
        <w:tabs>
          <w:tab w:val="left" w:pos="13185"/>
        </w:tabs>
        <w:rPr>
          <w:rFonts w:ascii="Century Gothic" w:eastAsia="Lucida Sans Unicode" w:hAnsi="Century Gothic" w:cstheme="minorBidi"/>
          <w:sz w:val="20"/>
          <w:szCs w:val="20"/>
          <w:lang w:eastAsia="zh-CN" w:bidi="hi-IN"/>
        </w:rPr>
      </w:pPr>
    </w:p>
    <w:sectPr w:rsidR="002F4FB7" w:rsidRPr="00D824B9" w:rsidSect="002F4FB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6095E" w14:textId="77777777" w:rsidR="003B3265" w:rsidRDefault="003B3265" w:rsidP="00641D9B">
      <w:r>
        <w:separator/>
      </w:r>
    </w:p>
  </w:endnote>
  <w:endnote w:type="continuationSeparator" w:id="0">
    <w:p w14:paraId="07300322" w14:textId="77777777" w:rsidR="003B3265" w:rsidRDefault="003B3265" w:rsidP="0064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eastAsiaTheme="majorEastAsia" w:hAnsi="Garamond" w:cstheme="majorBidi"/>
        <w:sz w:val="20"/>
        <w:szCs w:val="20"/>
      </w:rPr>
      <w:id w:val="-571189575"/>
      <w:docPartObj>
        <w:docPartGallery w:val="Page Numbers (Bottom of Page)"/>
        <w:docPartUnique/>
      </w:docPartObj>
    </w:sdtPr>
    <w:sdtEndPr/>
    <w:sdtContent>
      <w:p w14:paraId="7D6A57AD" w14:textId="651A7025" w:rsidR="00641D9B" w:rsidRPr="0083499E" w:rsidRDefault="00641D9B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83499E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83499E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83499E">
          <w:rPr>
            <w:rFonts w:ascii="Garamond" w:hAnsi="Garamond"/>
            <w:sz w:val="20"/>
            <w:szCs w:val="20"/>
          </w:rPr>
          <w:instrText>PAGE    \* MERGEFORMAT</w:instrText>
        </w:r>
        <w:r w:rsidRPr="0083499E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="008854E5" w:rsidRPr="008854E5">
          <w:rPr>
            <w:rFonts w:ascii="Garamond" w:eastAsiaTheme="majorEastAsia" w:hAnsi="Garamond" w:cstheme="majorBidi"/>
            <w:noProof/>
            <w:sz w:val="20"/>
            <w:szCs w:val="20"/>
          </w:rPr>
          <w:t>9</w:t>
        </w:r>
        <w:r w:rsidRPr="0083499E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</w:sdtContent>
  </w:sdt>
  <w:p w14:paraId="73B27311" w14:textId="77777777" w:rsidR="00641D9B" w:rsidRDefault="00641D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2F575" w14:textId="77777777" w:rsidR="003B3265" w:rsidRDefault="003B3265" w:rsidP="00641D9B">
      <w:r>
        <w:separator/>
      </w:r>
    </w:p>
  </w:footnote>
  <w:footnote w:type="continuationSeparator" w:id="0">
    <w:p w14:paraId="4BA837C0" w14:textId="77777777" w:rsidR="003B3265" w:rsidRDefault="003B3265" w:rsidP="00641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0057B" w14:textId="77777777" w:rsidR="009E555B" w:rsidRDefault="009E555B" w:rsidP="009E555B">
    <w:pPr>
      <w:tabs>
        <w:tab w:val="center" w:pos="4536"/>
      </w:tabs>
      <w:rPr>
        <w:rFonts w:ascii="Garamond" w:eastAsia="Times New Roman" w:hAnsi="Garamond"/>
        <w:lang w:eastAsia="pl-PL"/>
      </w:rPr>
    </w:pPr>
    <w:r w:rsidRPr="00D9372A">
      <w:rPr>
        <w:rFonts w:ascii="Garamond" w:eastAsia="Times New Roman" w:hAnsi="Garamond"/>
        <w:bCs/>
        <w:lang w:eastAsia="pl-PL"/>
      </w:rPr>
      <w:t>DFP.271</w:t>
    </w:r>
    <w:r>
      <w:rPr>
        <w:rFonts w:ascii="Garamond" w:eastAsia="Times New Roman" w:hAnsi="Garamond"/>
        <w:bCs/>
        <w:lang w:eastAsia="pl-PL"/>
      </w:rPr>
      <w:t>.27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2021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DB</w:t>
    </w:r>
    <w:r w:rsidRPr="00F10179">
      <w:rPr>
        <w:rFonts w:ascii="Garamond" w:eastAsia="Times New Roman" w:hAnsi="Garamond"/>
        <w:lang w:eastAsia="pl-PL"/>
      </w:rPr>
      <w:t xml:space="preserve">                                                               </w:t>
    </w:r>
  </w:p>
  <w:p w14:paraId="44EEFAA7" w14:textId="77777777" w:rsidR="009E555B" w:rsidRPr="00A856C9" w:rsidRDefault="009E555B" w:rsidP="009E555B">
    <w:pPr>
      <w:tabs>
        <w:tab w:val="center" w:pos="4536"/>
      </w:tabs>
      <w:jc w:val="right"/>
      <w:rPr>
        <w:rFonts w:ascii="Garamond" w:eastAsia="Times New Roman" w:hAnsi="Garamond"/>
        <w:color w:val="000000"/>
        <w:lang w:eastAsia="pl-PL"/>
      </w:rPr>
    </w:pPr>
    <w:r w:rsidRPr="00A856C9">
      <w:rPr>
        <w:rFonts w:ascii="Garamond" w:eastAsia="Times New Roman" w:hAnsi="Garamond"/>
        <w:color w:val="000000"/>
        <w:lang w:eastAsia="pl-PL"/>
      </w:rPr>
      <w:t>Załącznik nr 1</w:t>
    </w:r>
    <w:r>
      <w:rPr>
        <w:rFonts w:ascii="Garamond" w:eastAsia="Times New Roman" w:hAnsi="Garamond"/>
        <w:color w:val="000000"/>
        <w:lang w:eastAsia="pl-PL"/>
      </w:rPr>
      <w:t>a</w:t>
    </w:r>
    <w:r w:rsidRPr="00A856C9">
      <w:rPr>
        <w:rFonts w:ascii="Garamond" w:eastAsia="Times New Roman" w:hAnsi="Garamond"/>
        <w:color w:val="000000"/>
        <w:lang w:eastAsia="pl-PL"/>
      </w:rPr>
      <w:t xml:space="preserve"> do SWZ</w:t>
    </w:r>
  </w:p>
  <w:p w14:paraId="1F12B0A3" w14:textId="77777777" w:rsidR="009E555B" w:rsidRDefault="009E55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CA"/>
    <w:rsid w:val="00004EF6"/>
    <w:rsid w:val="00046B23"/>
    <w:rsid w:val="00050760"/>
    <w:rsid w:val="00077302"/>
    <w:rsid w:val="00094C78"/>
    <w:rsid w:val="000F15DB"/>
    <w:rsid w:val="00187A14"/>
    <w:rsid w:val="001F5721"/>
    <w:rsid w:val="00204150"/>
    <w:rsid w:val="00273873"/>
    <w:rsid w:val="0029163F"/>
    <w:rsid w:val="002F4FB7"/>
    <w:rsid w:val="003366F7"/>
    <w:rsid w:val="00347B43"/>
    <w:rsid w:val="003B3265"/>
    <w:rsid w:val="003B621C"/>
    <w:rsid w:val="003C077C"/>
    <w:rsid w:val="003D58D7"/>
    <w:rsid w:val="00413F24"/>
    <w:rsid w:val="004A1C9C"/>
    <w:rsid w:val="004D6521"/>
    <w:rsid w:val="004D6AFA"/>
    <w:rsid w:val="00507A4F"/>
    <w:rsid w:val="005E091B"/>
    <w:rsid w:val="00601D02"/>
    <w:rsid w:val="00641D9B"/>
    <w:rsid w:val="006636C8"/>
    <w:rsid w:val="00757A7A"/>
    <w:rsid w:val="007B153D"/>
    <w:rsid w:val="007C2DCC"/>
    <w:rsid w:val="0083499E"/>
    <w:rsid w:val="00875993"/>
    <w:rsid w:val="008854E5"/>
    <w:rsid w:val="00936ECA"/>
    <w:rsid w:val="009E555B"/>
    <w:rsid w:val="00A7651F"/>
    <w:rsid w:val="00B7474F"/>
    <w:rsid w:val="00BB7463"/>
    <w:rsid w:val="00C66520"/>
    <w:rsid w:val="00CE0DB6"/>
    <w:rsid w:val="00CF71C4"/>
    <w:rsid w:val="00CF76BB"/>
    <w:rsid w:val="00D824B9"/>
    <w:rsid w:val="00DF5FDE"/>
    <w:rsid w:val="00EA7465"/>
    <w:rsid w:val="00F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C716"/>
  <w15:chartTrackingRefBased/>
  <w15:docId w15:val="{725504D3-1BFB-4C38-A44F-9138D239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3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2F4FB7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4F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satzTableFormat">
    <w:name w:val="AbsatzTableFormat"/>
    <w:basedOn w:val="Normalny"/>
    <w:rsid w:val="002F4FB7"/>
    <w:rPr>
      <w:rFonts w:eastAsia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2F4FB7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1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D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641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D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9B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39"/>
    <w:rsid w:val="009E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3C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C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CE8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CE8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1634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Dorota Bochenek</cp:lastModifiedBy>
  <cp:revision>2</cp:revision>
  <cp:lastPrinted>2021-02-17T11:47:00Z</cp:lastPrinted>
  <dcterms:created xsi:type="dcterms:W3CDTF">2021-04-12T10:46:00Z</dcterms:created>
  <dcterms:modified xsi:type="dcterms:W3CDTF">2021-04-12T10:46:00Z</dcterms:modified>
</cp:coreProperties>
</file>