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3" w:rsidRPr="00AC2198" w:rsidRDefault="00F44CB3" w:rsidP="00AC2198">
      <w:pPr>
        <w:spacing w:after="0" w:line="240" w:lineRule="auto"/>
        <w:rPr>
          <w:rFonts w:cstheme="minorHAnsi"/>
          <w:sz w:val="20"/>
          <w:szCs w:val="20"/>
        </w:rPr>
      </w:pP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rsidTr="00B25F9D">
        <w:trPr>
          <w:trHeight w:val="406"/>
          <w:jc w:val="center"/>
        </w:trPr>
        <w:tc>
          <w:tcPr>
            <w:tcW w:w="13994" w:type="dxa"/>
            <w:shd w:val="clear" w:color="auto" w:fill="D9D9D9" w:themeFill="background1" w:themeFillShade="D9"/>
            <w:vAlign w:val="center"/>
          </w:tcPr>
          <w:p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rsidTr="00B25F9D">
        <w:trPr>
          <w:trHeight w:val="643"/>
          <w:jc w:val="center"/>
        </w:trPr>
        <w:tc>
          <w:tcPr>
            <w:tcW w:w="13994" w:type="dxa"/>
            <w:shd w:val="clear" w:color="auto" w:fill="F2F2F2" w:themeFill="background1" w:themeFillShade="F2"/>
            <w:vAlign w:val="center"/>
          </w:tcPr>
          <w:p w:rsidR="00A86DAE" w:rsidRPr="00AC2198" w:rsidRDefault="00A86DAE" w:rsidP="00CB4E4C">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AC2198">
              <w:rPr>
                <w:rFonts w:eastAsia="Lucida Sans Unicode"/>
                <w:b/>
                <w:kern w:val="3"/>
                <w:lang w:eastAsia="zh-CN" w:bidi="hi-IN"/>
              </w:rPr>
              <w:t xml:space="preserve"> -</w:t>
            </w:r>
            <w:r w:rsidRPr="00AC2198">
              <w:rPr>
                <w:rFonts w:eastAsia="Lucida Sans Unicode"/>
                <w:b/>
                <w:kern w:val="3"/>
                <w:lang w:eastAsia="zh-CN" w:bidi="hi-IN"/>
              </w:rPr>
              <w:t xml:space="preserve"> Szafa na bloczki parafinowe/preparaty </w:t>
            </w:r>
            <w:r w:rsidR="00AC2198">
              <w:rPr>
                <w:rFonts w:eastAsia="Lucida Sans Unicode"/>
                <w:b/>
                <w:kern w:val="3"/>
                <w:lang w:eastAsia="zh-CN" w:bidi="hi-IN"/>
              </w:rPr>
              <w:t>(</w:t>
            </w:r>
            <w:r w:rsidRPr="00AC2198">
              <w:rPr>
                <w:rFonts w:eastAsia="Lucida Sans Unicode"/>
                <w:b/>
                <w:kern w:val="3"/>
                <w:lang w:eastAsia="zh-CN" w:bidi="hi-IN"/>
              </w:rPr>
              <w:t>124 szt.</w:t>
            </w:r>
            <w:r w:rsidR="00AC2198">
              <w:rPr>
                <w:rFonts w:eastAsia="Lucida Sans Unicode"/>
                <w:b/>
                <w:kern w:val="3"/>
                <w:lang w:eastAsia="zh-CN" w:bidi="hi-IN"/>
              </w:rPr>
              <w:t>)</w:t>
            </w:r>
          </w:p>
        </w:tc>
      </w:tr>
    </w:tbl>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AC2198" w:rsidRPr="00AC2198" w:rsidRDefault="00B12A8E"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D0538" w:rsidRPr="00AC2198" w:rsidRDefault="008D0538"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D0538" w:rsidRPr="00AC2198" w:rsidRDefault="008D0538" w:rsidP="008D0538">
      <w:pPr>
        <w:suppressAutoHyphens/>
        <w:autoSpaceDN w:val="0"/>
        <w:spacing w:after="120"/>
        <w:jc w:val="both"/>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rsidR="00AC2198" w:rsidRDefault="00AC2198">
      <w:pPr>
        <w:rPr>
          <w:rFonts w:ascii="Century Gothic" w:eastAsia="Times New Roman" w:hAnsi="Century Gothic" w:cs="Arial"/>
          <w:b/>
          <w:bCs/>
        </w:rPr>
      </w:pPr>
      <w:r>
        <w:rPr>
          <w:rFonts w:ascii="Century Gothic" w:eastAsia="Times New Roman" w:hAnsi="Century Gothic" w:cs="Arial"/>
          <w:b/>
          <w:bCs/>
        </w:rPr>
        <w:br w:type="page"/>
      </w:r>
    </w:p>
    <w:p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AC2198" w:rsidRPr="00AC2198" w:rsidTr="00DD2A0F">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AC2198">
              <w:rPr>
                <w:rFonts w:ascii="Century Gothic" w:eastAsia="Times New Roman" w:hAnsi="Century Gothic" w:cs="Times New Roman"/>
                <w:b/>
                <w:sz w:val="20"/>
                <w:szCs w:val="20"/>
              </w:rPr>
              <w:t>Szafa na bloczki parafinowe/preparaty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rsidTr="00DD2A0F">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F24DAA"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124</w:t>
            </w:r>
          </w:p>
        </w:tc>
        <w:tc>
          <w:tcPr>
            <w:tcW w:w="3379"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8"/>
        <w:gridCol w:w="5730"/>
        <w:gridCol w:w="1417"/>
        <w:gridCol w:w="6455"/>
      </w:tblGrid>
      <w:tr w:rsidR="003E51BB" w:rsidRPr="00AC2198" w:rsidTr="00B925BA">
        <w:tc>
          <w:tcPr>
            <w:tcW w:w="141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51BB" w:rsidRPr="00AC2198" w:rsidRDefault="003E51BB"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6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Szafy z nadstawkami o gęstości upakowania co najmniej 92 tys. bloczków/m2 (kasetka + parafina o grubości 7mm) – 78 szaf na bloczki</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 xml:space="preserve">Szafy z nadstawkami o gęstości upakowania co najmniej 240 tyś/m2 standardowych preparatów mikroskopowych (zgodnych z normą DIN ISO 8037/1 </w:t>
            </w:r>
            <w:r w:rsidR="00096D8C" w:rsidRPr="00AC2198">
              <w:rPr>
                <w:rFonts w:ascii="Times New Roman" w:hAnsi="Times New Roman" w:cs="Times New Roman"/>
                <w:sz w:val="20"/>
                <w:szCs w:val="20"/>
              </w:rPr>
              <w:t xml:space="preserve"> lub równoważną</w:t>
            </w:r>
            <w:r w:rsidRPr="00AC2198">
              <w:rPr>
                <w:rFonts w:ascii="Times New Roman" w:hAnsi="Times New Roman" w:cs="Times New Roman"/>
                <w:sz w:val="20"/>
                <w:szCs w:val="20"/>
              </w:rPr>
              <w:t>) i co najmniej 29tys bloczków/m2  (kasetka + parafina o grubości 7mm) – 46 szaf na preparaty i bloczki</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A86DAE" w:rsidRPr="00AC2198" w:rsidTr="00B25F9D">
        <w:trPr>
          <w:trHeight w:val="224"/>
        </w:trPr>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6F70E7" w:rsidRPr="00AC2198" w:rsidRDefault="00BD717C" w:rsidP="00F44CB3">
            <w:pPr>
              <w:jc w:val="both"/>
              <w:rPr>
                <w:rFonts w:ascii="Times New Roman" w:hAnsi="Times New Roman" w:cs="Times New Roman"/>
                <w:sz w:val="20"/>
                <w:szCs w:val="20"/>
              </w:rPr>
            </w:pPr>
            <w:r w:rsidRPr="00AC2198">
              <w:rPr>
                <w:rFonts w:ascii="Times New Roman" w:hAnsi="Times New Roman" w:cs="Times New Roman"/>
                <w:sz w:val="20"/>
                <w:szCs w:val="20"/>
              </w:rPr>
              <w:t>Szafa wykonana z metalu malowanego proszkowo</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spacing w:after="0" w:line="240" w:lineRule="auto"/>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BD717C" w:rsidRPr="00AC2198" w:rsidTr="00B25F9D">
        <w:trPr>
          <w:trHeight w:val="459"/>
        </w:trPr>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Szufladki na szkiełka wykonane z tworzywa ABS co pozwala na redukcję obciążenia podłoża</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spacing w:after="0" w:line="240" w:lineRule="auto"/>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Możliwość wyboru koloru frontu dla każdego poziomu szuflad – dostępne min. 5 kolorów</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Każda szuflada podzielona na 3 sekcje: składowanie bloczków w indywidualnych szufladach maksymalnie w 2 warstwach, składowanie szkiełek w pojedynczej warstwie</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Szufladki na szkiełka wykonane z tworzywa ABS</w:t>
            </w:r>
            <w:r w:rsidR="00347CE2">
              <w:rPr>
                <w:rFonts w:ascii="Times New Roman" w:hAnsi="Times New Roman" w:cs="Times New Roman"/>
                <w:sz w:val="20"/>
                <w:szCs w:val="20"/>
              </w:rPr>
              <w:t xml:space="preserve"> lub równoważnego</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 xml:space="preserve">Pojemność każdej szuflady na bloczki w zakresie 100-120 bloczków </w:t>
            </w:r>
            <w:r w:rsidRPr="00AC2198">
              <w:rPr>
                <w:rFonts w:ascii="Times New Roman" w:hAnsi="Times New Roman" w:cs="Times New Roman"/>
                <w:sz w:val="20"/>
                <w:szCs w:val="20"/>
              </w:rPr>
              <w:lastRenderedPageBreak/>
              <w:t>(kasetka + parafina o grubości 7mm)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lastRenderedPageBreak/>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Pojemność każdej szuflady na szkiełka w zakresie 400-450 standardowych preparatów mikroskopowych (zgodnych z normą DIN ISO 8037/1</w:t>
            </w:r>
            <w:r w:rsidR="00221C60" w:rsidRPr="00AC2198">
              <w:rPr>
                <w:rFonts w:ascii="Times New Roman" w:hAnsi="Times New Roman" w:cs="Times New Roman"/>
                <w:sz w:val="20"/>
                <w:szCs w:val="20"/>
              </w:rPr>
              <w:t xml:space="preserve"> lub równoważną</w:t>
            </w:r>
            <w:r w:rsidRPr="00AC2198">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Minimum 11 poziomów szuflad</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Każdy front szuflady z możliwością opisu</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Wymiary szafy max.: - wysokość: 180 cm, szerokość 100cm, głębokość 50cm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Wymiary nadstawki max.: – wysokość 80cm, szerokość, 100cm, głębokość 50cm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Waga szafy max.: 200kg</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Waga nadstawki max.: 80kg</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Łączna pojemność całego archiwum na bloczki nie mniejsza niż: 4,3 mln bloczków i 5,5 mln preparatów</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2 szafy mobilne z kółkami do transportu na bloczki i preparaty</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DC4579" w:rsidP="00D40A96">
            <w:pPr>
              <w:rPr>
                <w:rFonts w:ascii="Times New Roman" w:hAnsi="Times New Roman" w:cs="Times New Roman"/>
                <w:sz w:val="20"/>
                <w:szCs w:val="20"/>
              </w:rPr>
            </w:pPr>
            <w:r w:rsidRPr="00AC2198">
              <w:rPr>
                <w:rFonts w:ascii="Times New Roman" w:hAnsi="Times New Roman" w:cs="Times New Roman"/>
                <w:sz w:val="20"/>
                <w:szCs w:val="20"/>
              </w:rPr>
              <w:t>P</w:t>
            </w:r>
            <w:r w:rsidR="00BD717C" w:rsidRPr="00AC2198">
              <w:rPr>
                <w:rFonts w:ascii="Times New Roman" w:hAnsi="Times New Roman" w:cs="Times New Roman"/>
                <w:sz w:val="20"/>
                <w:szCs w:val="20"/>
              </w:rPr>
              <w:t>odest magazynowy do obsługi wyższych partii szaf archiwalnych – 1 szt.</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A86DAE" w:rsidRPr="00AC2198" w:rsidTr="00B25F9D">
        <w:tc>
          <w:tcPr>
            <w:tcW w:w="14170" w:type="dxa"/>
            <w:gridSpan w:val="4"/>
            <w:tcBorders>
              <w:top w:val="single" w:sz="4" w:space="0" w:color="auto"/>
              <w:left w:val="single" w:sz="4" w:space="0" w:color="auto"/>
              <w:bottom w:val="single" w:sz="4" w:space="0" w:color="auto"/>
              <w:right w:val="single" w:sz="4" w:space="0" w:color="auto"/>
            </w:tcBorders>
            <w:vAlign w:val="center"/>
          </w:tcPr>
          <w:p w:rsidR="00A86DAE" w:rsidRPr="00AC2198" w:rsidRDefault="00330284" w:rsidP="00F44CB3">
            <w:pPr>
              <w:widowControl w:val="0"/>
              <w:suppressLineNumbers/>
              <w:suppressAutoHyphens/>
              <w:snapToGrid w:val="0"/>
              <w:spacing w:after="0" w:line="240" w:lineRule="auto"/>
              <w:jc w:val="both"/>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Instalacja</w:t>
            </w: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Montaż urządzeń – we wskazanych pomieszczeniach NSSU Kraków –Prokocim.</w:t>
            </w:r>
          </w:p>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Wykonawca zobo</w:t>
            </w:r>
            <w:r w:rsidR="00BF0018" w:rsidRPr="00AC2198">
              <w:rPr>
                <w:rFonts w:ascii="Times New Roman" w:hAnsi="Times New Roman" w:cs="Times New Roman"/>
                <w:sz w:val="20"/>
                <w:szCs w:val="20"/>
              </w:rPr>
              <w:t>wiązuje się, że wszystkie prac</w:t>
            </w:r>
            <w:r w:rsidRPr="00AC2198">
              <w:rPr>
                <w:rFonts w:ascii="Times New Roman" w:hAnsi="Times New Roman" w:cs="Times New Roman"/>
                <w:sz w:val="20"/>
                <w:szCs w:val="20"/>
              </w:rPr>
              <w:t xml:space="preserve"> i czynności nie wpłyną na gwarancję obiektu NSSU jako całości</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817F91">
            <w:pPr>
              <w:snapToGrid w:val="0"/>
              <w:spacing w:line="288" w:lineRule="auto"/>
              <w:jc w:val="both"/>
              <w:rPr>
                <w:rFonts w:ascii="Times New Roman" w:hAnsi="Times New Roman" w:cs="Times New Roman"/>
                <w:bCs/>
                <w:iCs/>
                <w:sz w:val="20"/>
                <w:szCs w:val="20"/>
              </w:rPr>
            </w:pPr>
            <w:r w:rsidRPr="00AC2198">
              <w:rPr>
                <w:rFonts w:ascii="Times New Roman" w:hAnsi="Times New Roman" w:cs="Times New Roman"/>
                <w:bCs/>
                <w:iCs/>
                <w:sz w:val="20"/>
                <w:szCs w:val="20"/>
              </w:rPr>
              <w:t>Wykonawca gwarantuje, że zaoferowane urządzenia już po oddaniu do eksploatacji nie będą wymagać prowadzenia przez Zamawiającego dodatkowych instalacji i innych prac związanych z eksploatacją urządzenia.</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 cenie oferty – prace porządkowe po instalacji, odbiór zbędnych opakowań, substancji szkodliwych (o ile występują), naprawa szkód (o ile wystąpią podczas dostawy i montażu)</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 obrębie pomieszczeń i ich otoczeniu – przygotowa</w:t>
            </w:r>
            <w:r w:rsidR="00330284" w:rsidRPr="00AC2198">
              <w:rPr>
                <w:rFonts w:ascii="Times New Roman" w:hAnsi="Times New Roman" w:cs="Times New Roman"/>
                <w:sz w:val="20"/>
                <w:szCs w:val="20"/>
              </w:rPr>
              <w:t xml:space="preserve">nie   </w:t>
            </w:r>
            <w:r w:rsidRPr="00AC2198">
              <w:rPr>
                <w:rFonts w:ascii="Times New Roman" w:hAnsi="Times New Roman" w:cs="Times New Roman"/>
                <w:sz w:val="20"/>
                <w:szCs w:val="20"/>
              </w:rPr>
              <w:t>i odpowiednie zabezpieczenie dróg transportu, otworów montażowych oraz innych niezbędnych obiektó</w:t>
            </w:r>
            <w:r w:rsidR="00BF0018" w:rsidRPr="00AC2198">
              <w:rPr>
                <w:rFonts w:ascii="Times New Roman" w:hAnsi="Times New Roman" w:cs="Times New Roman"/>
                <w:sz w:val="20"/>
                <w:szCs w:val="20"/>
              </w:rPr>
              <w:t>w</w:t>
            </w:r>
            <w:r w:rsidRPr="00AC2198">
              <w:rPr>
                <w:rFonts w:ascii="Times New Roman" w:hAnsi="Times New Roman" w:cs="Times New Roman"/>
                <w:sz w:val="20"/>
                <w:szCs w:val="20"/>
              </w:rPr>
              <w:t xml:space="preserve"> i czynności związanych z realizacją przedmiotu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bl>
    <w:p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tbl>
      <w:tblPr>
        <w:tblW w:w="141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670"/>
        <w:gridCol w:w="985"/>
        <w:gridCol w:w="433"/>
        <w:gridCol w:w="1134"/>
        <w:gridCol w:w="2781"/>
        <w:gridCol w:w="2605"/>
      </w:tblGrid>
      <w:tr w:rsidR="00F44CB3" w:rsidRPr="00AC2198" w:rsidTr="002C0A2C">
        <w:trPr>
          <w:trHeight w:val="297"/>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CB3" w:rsidRPr="00AC2198" w:rsidRDefault="00F44CB3" w:rsidP="003E51B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bCs/>
                <w:kern w:val="1"/>
                <w:sz w:val="20"/>
                <w:szCs w:val="20"/>
                <w:lang w:eastAsia="pl-PL"/>
              </w:rPr>
              <w:t>WARUNKI GWARANCJI I SERWISU</w:t>
            </w:r>
          </w:p>
        </w:tc>
      </w:tr>
      <w:tr w:rsidR="00F44CB3" w:rsidRPr="00AC2198" w:rsidTr="002C0A2C">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3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SPOSÓB OCENY</w:t>
            </w:r>
          </w:p>
        </w:tc>
      </w:tr>
      <w:tr w:rsidR="005F34DA" w:rsidRPr="00AC2198" w:rsidTr="002C0A2C">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GWARANCJE</w:t>
            </w:r>
          </w:p>
        </w:tc>
      </w:tr>
      <w:tr w:rsidR="00F44CB3" w:rsidRPr="00AC2198" w:rsidTr="002C0A2C">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12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Okres pełnej, bez wyłączeń gwarancji dla wszystkich zaoferowanych elementów.</w:t>
            </w:r>
          </w:p>
          <w:p w:rsidR="00F44CB3" w:rsidRPr="00AC2198" w:rsidRDefault="00F44CB3" w:rsidP="00F44CB3">
            <w:pPr>
              <w:widowControl w:val="0"/>
              <w:suppressLineNumbers/>
              <w:suppressAutoHyphens/>
              <w:snapToGrid w:val="0"/>
              <w:spacing w:after="0" w:line="240" w:lineRule="auto"/>
              <w:jc w:val="both"/>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iCs/>
                <w:color w:val="000000" w:themeColor="text1"/>
                <w:kern w:val="1"/>
                <w:sz w:val="20"/>
                <w:szCs w:val="20"/>
                <w:lang w:eastAsia="pl-PL"/>
              </w:rPr>
              <w:t xml:space="preserve">UWAGA – należy podać pełną liczbę miesięcy. Wartości ułamkowe będą przy ocenie zaokrąglane w dół – do pełnych miesięcy. Zamawiający zastrzega, że okres rękojmi musi być równy okresowi gwarancji. </w:t>
            </w:r>
            <w:r w:rsidRPr="00AC2198">
              <w:rPr>
                <w:rFonts w:ascii="Times New Roman" w:eastAsia="Andale Sans UI" w:hAnsi="Times New Roman" w:cs="Times New Roman"/>
                <w:color w:val="000000" w:themeColor="text1"/>
                <w:kern w:val="1"/>
                <w:sz w:val="20"/>
                <w:szCs w:val="20"/>
                <w:lang w:eastAsia="pl-PL"/>
              </w:rPr>
              <w:t>Zamawiający zastrzega, że górną grani</w:t>
            </w:r>
            <w:r w:rsidR="00E94B0B" w:rsidRPr="00AC2198">
              <w:rPr>
                <w:rFonts w:ascii="Times New Roman" w:eastAsia="Andale Sans UI" w:hAnsi="Times New Roman" w:cs="Times New Roman"/>
                <w:color w:val="000000" w:themeColor="text1"/>
                <w:kern w:val="1"/>
                <w:sz w:val="20"/>
                <w:szCs w:val="20"/>
                <w:lang w:eastAsia="pl-PL"/>
              </w:rPr>
              <w:t>cą punktacji gwarancji będzie 5</w:t>
            </w:r>
            <w:r w:rsidRPr="00AC2198">
              <w:rPr>
                <w:rFonts w:ascii="Times New Roman" w:eastAsia="Andale Sans UI" w:hAnsi="Times New Roman" w:cs="Times New Roman"/>
                <w:color w:val="000000" w:themeColor="text1"/>
                <w:kern w:val="1"/>
                <w:sz w:val="20"/>
                <w:szCs w:val="20"/>
                <w:lang w:eastAsia="pl-PL"/>
              </w:rPr>
              <w:t> lat.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color w:val="000000" w:themeColor="text1"/>
                <w:kern w:val="1"/>
                <w:sz w:val="20"/>
                <w:szCs w:val="20"/>
                <w:lang w:eastAsia="pl-PL"/>
              </w:rPr>
              <w:t>&gt;= 24</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color w:val="000000" w:themeColor="text1"/>
                <w:kern w:val="1"/>
                <w:sz w:val="20"/>
                <w:szCs w:val="20"/>
              </w:rPr>
              <w:t>najdłuższy okres – 5 pkt, wymagane – 0 pkt, inne proporcjonalnie mniej, względem najdłuższego okresu</w:t>
            </w:r>
          </w:p>
        </w:tc>
      </w:tr>
      <w:tr w:rsidR="00F44CB3" w:rsidRPr="00AC2198" w:rsidTr="002C0A2C">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xml:space="preserve">Gwarancja dostępności części zamiennych [liczba lat] – min. 10 lat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Przedłużenie okresu gwarancji o każdy dzień, w czasie którego Zamawiający nie mógł korzystać w pełni sprawnego sprzętu.</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hAnsi="Times New Roman" w:cs="Times New Roman"/>
                <w:b/>
                <w:bCs/>
                <w:color w:val="000000" w:themeColor="text1"/>
                <w:sz w:val="20"/>
                <w:szCs w:val="20"/>
              </w:rPr>
              <w:t>WARUNKI SERWISU</w:t>
            </w:r>
          </w:p>
        </w:tc>
      </w:tr>
      <w:tr w:rsidR="00F44CB3" w:rsidRPr="00AC2198" w:rsidTr="002C0A2C">
        <w:trPr>
          <w:trHeight w:val="1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Przyjazd serwisu po zgłoszeniu awarii w okresie gwarancji do 2 dni (dotyczy dni roboczych rozumianych jako dni od poniedziałku do piątku, z wyjątkiem świąt i dni ustawowo wolnych od pracy, w godzinach od 8.00 do 15.00 )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 podać</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0" w:line="240"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1 dzień– 5 pkt;</w:t>
            </w:r>
          </w:p>
          <w:p w:rsidR="00F44CB3" w:rsidRPr="00AC2198" w:rsidRDefault="00F44CB3" w:rsidP="00F44CB3">
            <w:pPr>
              <w:snapToGrid w:val="0"/>
              <w:spacing w:after="0" w:line="240"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2 dni – 0 pkt,</w:t>
            </w:r>
          </w:p>
        </w:tc>
      </w:tr>
      <w:tr w:rsidR="00F44CB3" w:rsidRPr="00AC2198" w:rsidTr="002C0A2C">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Czas na naprawę usterki – do 3 dni, a w przypadku potrzeby sprowadzenia części zamiennych do - 5 dni (dotyczy dni roboczych)</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Urządzenie zastępcze w przypadku niewykonania naprawy w ciągu 5 dni od zgłoszenia awarii (dotyczy dni roboczych)</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 xml:space="preserve">W ramach ceny: przeglądy w okresie gwarancji (zgodnie z wymogami producenta)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tak, podać ilość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751D3E"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Ilość przeglądów okresowych koniecznych do wykonywania po upływie okresu gwarancyjnego w celu zapewnienia sprawn</w:t>
            </w:r>
            <w:r w:rsidR="000B5177" w:rsidRPr="00AC2198">
              <w:rPr>
                <w:rFonts w:ascii="Times New Roman" w:hAnsi="Times New Roman" w:cs="Times New Roman"/>
                <w:sz w:val="20"/>
                <w:szCs w:val="20"/>
              </w:rPr>
              <w:t xml:space="preserve">ej pracy aparatu  </w:t>
            </w:r>
            <w:r w:rsidRPr="00AC2198">
              <w:rPr>
                <w:rFonts w:ascii="Times New Roman" w:hAnsi="Times New Roman" w:cs="Times New Roman"/>
                <w:sz w:val="20"/>
                <w:szCs w:val="20"/>
              </w:rPr>
              <w:t xml:space="preserve"> (w okresie 1 roku)</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podać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751D3E"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jeden – 5 pkt,                    więcej – 0 pkt</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rPr>
                <w:rFonts w:ascii="Times New Roman" w:hAnsi="Times New Roman" w:cs="Times New Roman"/>
                <w:sz w:val="20"/>
                <w:szCs w:val="20"/>
              </w:rPr>
            </w:pPr>
            <w:r w:rsidRPr="00AC2198">
              <w:rPr>
                <w:rFonts w:ascii="Times New Roman" w:hAnsi="Times New Roman" w:cs="Times New Roman"/>
                <w:sz w:val="20"/>
                <w:szCs w:val="20"/>
              </w:rPr>
              <w:t>Wraz z dostawą komplet materiałów dotyczących instalacji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Dokumentacja serwisowa i/lub oprogramowanie serwisowe na potrzeby Zamawiającego (dokumentacja zapewni co najmniej pełną diagnostykę urządzenia, wykonywanie drobnych napraw, regulacji, kalibracji, etc.)</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AutoHyphens/>
              <w:snapToGrid w:val="0"/>
              <w:spacing w:before="100" w:beforeAutospacing="1" w:after="100" w:afterAutospacing="1" w:line="288" w:lineRule="auto"/>
              <w:rPr>
                <w:rFonts w:ascii="Times New Roman" w:hAnsi="Times New Roman" w:cs="Times New Roman"/>
                <w:color w:val="000000" w:themeColor="text1"/>
                <w:sz w:val="20"/>
                <w:szCs w:val="20"/>
              </w:rPr>
            </w:pPr>
            <w:r w:rsidRPr="00AC2198">
              <w:rPr>
                <w:rFonts w:ascii="Times New Roman" w:hAnsi="Times New Roman" w:cs="Times New Roman"/>
                <w:b/>
                <w:bCs/>
                <w:color w:val="000000" w:themeColor="text1"/>
                <w:sz w:val="20"/>
                <w:szCs w:val="20"/>
              </w:rPr>
              <w:t>SZKOLENIA</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sz w:val="20"/>
                <w:szCs w:val="20"/>
                <w:lang w:eastAsia="ar-SA"/>
              </w:rPr>
            </w:pPr>
            <w:r w:rsidRPr="00AC2198">
              <w:rPr>
                <w:rFonts w:ascii="Times New Roman" w:eastAsia="Calibri" w:hAnsi="Times New Roman" w:cs="Times New Roman"/>
                <w:sz w:val="20"/>
                <w:szCs w:val="20"/>
                <w:lang w:eastAsia="ar-SA"/>
              </w:rPr>
              <w:t xml:space="preserve">Szkolenie dla personelu medycznego – </w:t>
            </w:r>
            <w:r w:rsidR="00897300" w:rsidRPr="00AC2198">
              <w:rPr>
                <w:rFonts w:ascii="Times New Roman" w:eastAsia="Calibri" w:hAnsi="Times New Roman" w:cs="Times New Roman"/>
                <w:sz w:val="20"/>
                <w:szCs w:val="20"/>
                <w:lang w:eastAsia="ar-SA"/>
              </w:rPr>
              <w:t>5</w:t>
            </w:r>
            <w:r w:rsidRPr="00AC2198">
              <w:rPr>
                <w:rFonts w:ascii="Times New Roman" w:eastAsia="Calibri" w:hAnsi="Times New Roman" w:cs="Times New Roman"/>
                <w:sz w:val="20"/>
                <w:szCs w:val="20"/>
                <w:lang w:eastAsia="ar-SA"/>
              </w:rPr>
              <w:t xml:space="preserve"> osób i technicznego – 2 osoby. Dodatkowe szkolenie dla personelu medycznego w przypadku wyrażenia takiej potrzeby przez personel medyczny – 1 osoba i technicznego – 1 osoba</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AutoHyphens/>
              <w:snapToGrid w:val="0"/>
              <w:spacing w:before="100" w:beforeAutospacing="1" w:after="100" w:afterAutospacing="1" w:line="288" w:lineRule="auto"/>
              <w:rPr>
                <w:rFonts w:ascii="Times New Roman" w:hAnsi="Times New Roman" w:cs="Times New Roman"/>
                <w:color w:val="000000" w:themeColor="text1"/>
                <w:sz w:val="20"/>
                <w:szCs w:val="20"/>
              </w:rPr>
            </w:pPr>
            <w:r w:rsidRPr="00AC2198">
              <w:rPr>
                <w:rFonts w:ascii="Times New Roman" w:hAnsi="Times New Roman" w:cs="Times New Roman"/>
                <w:b/>
                <w:bCs/>
                <w:color w:val="000000" w:themeColor="text1"/>
                <w:sz w:val="20"/>
                <w:szCs w:val="20"/>
              </w:rPr>
              <w:t>DOKUMENTACJA</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autoSpaceDE w:val="0"/>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Instrukcje obsługi w języku polskim w formie elektronicznej i drukowanej (przekazane w momencie dostawy dla każdego egzemplarza.</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9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12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Dokumentacja (lub tzw. lista kontrolna zawierająca wykaz części i czynności) dotycząca przeglądów technicznych w języku polskim (dostarczona przy dostawie).</w:t>
            </w:r>
          </w:p>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UWAGA – dokumentacja musi zapewnić co najmniej pełną diagnostykę urządzenia, wykonywanie drobnych napraw, regulacji, kalibracji, oraz przeglądów okresowych w standardzie wymaganym przez producenta.</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Instrukcja konserwacji, mycia, dezynfekcji i sterylizacji dostarczona przy dostawie i wskazująca, że czynności te prawidłowo wykonane nie powodują utraty gwarancji.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spacing w:after="12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Możliwość mycia i dezynfekcji  aparatów w oparciu o przedstawione przez wykonawcę zalecane preparaty myjące i dezynfekujące.</w:t>
            </w:r>
          </w:p>
          <w:p w:rsidR="00F44CB3" w:rsidRPr="00AC2198" w:rsidRDefault="00F44CB3" w:rsidP="00F44CB3">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UWAGA – zalecane środki powinny zawierać nazwy związków chemicznych, a nie tylko nazwy handlowe preparatów.</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spacing w:after="12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Z uwagi na fakt, iż przedmiot umowy finansowany jest ze środków Unii Europejskiej, faktura po dostawie  musi zawierać wymieniony sprzęt zgodny, co do nazwy, ze sprzętem wymienionym w opisie przedmiotu zamówienia</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 - -</w:t>
            </w:r>
          </w:p>
        </w:tc>
      </w:tr>
      <w:bookmarkEnd w:id="1"/>
    </w:tbl>
    <w:p w:rsidR="0005288B" w:rsidRPr="00AC2198" w:rsidRDefault="0005288B" w:rsidP="003E51BB">
      <w:pPr>
        <w:pStyle w:val="Tekstpodstawowy3"/>
        <w:rPr>
          <w:rFonts w:asciiTheme="minorHAnsi" w:hAnsiTheme="minorHAnsi" w:cstheme="minorHAnsi"/>
          <w:sz w:val="20"/>
        </w:rPr>
      </w:pPr>
    </w:p>
    <w:sectPr w:rsidR="0005288B" w:rsidRPr="00AC2198" w:rsidSect="00AC2198">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C2" w:rsidRDefault="001250C2" w:rsidP="005A1349">
      <w:pPr>
        <w:spacing w:after="0" w:line="240" w:lineRule="auto"/>
      </w:pPr>
      <w:r>
        <w:separator/>
      </w:r>
    </w:p>
  </w:endnote>
  <w:endnote w:type="continuationSeparator" w:id="0">
    <w:p w:rsidR="001250C2" w:rsidRDefault="001250C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rsidR="00CC0F03" w:rsidRDefault="00CC0F03" w:rsidP="00AC2198">
        <w:pPr>
          <w:pStyle w:val="Stopka"/>
          <w:ind w:firstLine="1416"/>
        </w:pPr>
        <w:r>
          <w:rPr>
            <w:rFonts w:cstheme="minorHAnsi"/>
            <w:sz w:val="16"/>
            <w:szCs w:val="16"/>
          </w:rPr>
          <w:t xml:space="preserve">                                                                                                                                                                                                                                             </w:t>
        </w:r>
        <w:r>
          <w:t xml:space="preserve"> </w:t>
        </w:r>
        <w:r>
          <w:fldChar w:fldCharType="begin"/>
        </w:r>
        <w:r>
          <w:instrText>PAGE   \* MERGEFORMAT</w:instrText>
        </w:r>
        <w:r>
          <w:fldChar w:fldCharType="separate"/>
        </w:r>
        <w:r w:rsidR="00457324">
          <w:rPr>
            <w:noProof/>
          </w:rPr>
          <w:t>1</w:t>
        </w:r>
        <w:r>
          <w:fldChar w:fldCharType="end"/>
        </w:r>
      </w:p>
    </w:sdtContent>
  </w:sdt>
  <w:p w:rsidR="00CC0F03" w:rsidRPr="00607357" w:rsidRDefault="00CC0F03" w:rsidP="00FF093E">
    <w:pPr>
      <w:spacing w:after="0" w:line="240" w:lineRule="auto"/>
      <w:rPr>
        <w:rFonts w:cstheme="minorHAnsi"/>
        <w:sz w:val="16"/>
        <w:szCs w:val="16"/>
      </w:rPr>
    </w:pPr>
  </w:p>
  <w:p w:rsidR="00CC0F03" w:rsidRDefault="00CC0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C2" w:rsidRDefault="001250C2" w:rsidP="005A1349">
      <w:pPr>
        <w:spacing w:after="0" w:line="240" w:lineRule="auto"/>
      </w:pPr>
      <w:r>
        <w:separator/>
      </w:r>
    </w:p>
  </w:footnote>
  <w:footnote w:type="continuationSeparator" w:id="0">
    <w:p w:rsidR="001250C2" w:rsidRDefault="001250C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03" w:rsidRDefault="00AC2198"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48FAAA8" wp14:editId="4692DC2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CB4E4C" w:rsidRDefault="00CB4E4C"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3</w:t>
    </w:r>
    <w:r w:rsidRPr="00CB4E4C">
      <w:rPr>
        <w:rFonts w:ascii="Garamond" w:eastAsia="Times New Roman" w:hAnsi="Garamond" w:cs="Times New Roman"/>
        <w:color w:val="000000"/>
        <w:lang w:eastAsia="pl-PL" w:bidi="hi-IN"/>
      </w:rPr>
      <w:t>7.2019.LS</w:t>
    </w:r>
    <w:r w:rsidRPr="00CB4E4C">
      <w:rPr>
        <w:rFonts w:ascii="Garamond" w:eastAsia="Times New Roman" w:hAnsi="Garamond" w:cs="Times New Roman"/>
        <w:lang w:eastAsia="pl-PL"/>
      </w:rPr>
      <w:tab/>
    </w:r>
  </w:p>
  <w:p w:rsidR="00CB4E4C" w:rsidRDefault="00CB4E4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rsidR="00CB4E4C" w:rsidRPr="00CB4E4C" w:rsidRDefault="00CB4E4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rsidR="00CB4E4C" w:rsidRPr="00CB4E4C" w:rsidRDefault="00CB4E4C"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cs="Times New Roman"/>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1">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300798"/>
    <w:multiLevelType w:val="hybridMultilevel"/>
    <w:tmpl w:val="2404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9">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2">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4">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6"/>
  </w:num>
  <w:num w:numId="2">
    <w:abstractNumId w:val="114"/>
  </w:num>
  <w:num w:numId="3">
    <w:abstractNumId w:val="60"/>
  </w:num>
  <w:num w:numId="4">
    <w:abstractNumId w:val="32"/>
  </w:num>
  <w:num w:numId="5">
    <w:abstractNumId w:val="116"/>
  </w:num>
  <w:num w:numId="6">
    <w:abstractNumId w:val="109"/>
  </w:num>
  <w:num w:numId="7">
    <w:abstractNumId w:val="25"/>
  </w:num>
  <w:num w:numId="8">
    <w:abstractNumId w:val="126"/>
  </w:num>
  <w:num w:numId="9">
    <w:abstractNumId w:val="24"/>
  </w:num>
  <w:num w:numId="10">
    <w:abstractNumId w:val="106"/>
  </w:num>
  <w:num w:numId="11">
    <w:abstractNumId w:val="124"/>
  </w:num>
  <w:num w:numId="12">
    <w:abstractNumId w:val="152"/>
  </w:num>
  <w:num w:numId="13">
    <w:abstractNumId w:val="54"/>
  </w:num>
  <w:num w:numId="14">
    <w:abstractNumId w:val="6"/>
  </w:num>
  <w:num w:numId="15">
    <w:abstractNumId w:val="57"/>
  </w:num>
  <w:num w:numId="16">
    <w:abstractNumId w:val="98"/>
  </w:num>
  <w:num w:numId="17">
    <w:abstractNumId w:val="46"/>
  </w:num>
  <w:num w:numId="18">
    <w:abstractNumId w:val="183"/>
  </w:num>
  <w:num w:numId="19">
    <w:abstractNumId w:val="13"/>
  </w:num>
  <w:num w:numId="20">
    <w:abstractNumId w:val="36"/>
  </w:num>
  <w:num w:numId="21">
    <w:abstractNumId w:val="70"/>
  </w:num>
  <w:num w:numId="22">
    <w:abstractNumId w:val="11"/>
  </w:num>
  <w:num w:numId="23">
    <w:abstractNumId w:val="90"/>
  </w:num>
  <w:num w:numId="24">
    <w:abstractNumId w:val="186"/>
  </w:num>
  <w:num w:numId="25">
    <w:abstractNumId w:val="188"/>
  </w:num>
  <w:num w:numId="26">
    <w:abstractNumId w:val="104"/>
  </w:num>
  <w:num w:numId="27">
    <w:abstractNumId w:val="43"/>
  </w:num>
  <w:num w:numId="28">
    <w:abstractNumId w:val="27"/>
  </w:num>
  <w:num w:numId="29">
    <w:abstractNumId w:val="66"/>
  </w:num>
  <w:num w:numId="30">
    <w:abstractNumId w:val="2"/>
  </w:num>
  <w:num w:numId="31">
    <w:abstractNumId w:val="140"/>
  </w:num>
  <w:num w:numId="32">
    <w:abstractNumId w:val="135"/>
  </w:num>
  <w:num w:numId="33">
    <w:abstractNumId w:val="163"/>
  </w:num>
  <w:num w:numId="34">
    <w:abstractNumId w:val="35"/>
  </w:num>
  <w:num w:numId="35">
    <w:abstractNumId w:val="1"/>
  </w:num>
  <w:num w:numId="36">
    <w:abstractNumId w:val="44"/>
  </w:num>
  <w:num w:numId="37">
    <w:abstractNumId w:val="133"/>
  </w:num>
  <w:num w:numId="38">
    <w:abstractNumId w:val="0"/>
  </w:num>
  <w:num w:numId="39">
    <w:abstractNumId w:val="132"/>
  </w:num>
  <w:num w:numId="40">
    <w:abstractNumId w:val="128"/>
  </w:num>
  <w:num w:numId="41">
    <w:abstractNumId w:val="101"/>
  </w:num>
  <w:num w:numId="42">
    <w:abstractNumId w:val="192"/>
  </w:num>
  <w:num w:numId="43">
    <w:abstractNumId w:val="130"/>
  </w:num>
  <w:num w:numId="44">
    <w:abstractNumId w:val="61"/>
  </w:num>
  <w:num w:numId="45">
    <w:abstractNumId w:val="160"/>
  </w:num>
  <w:num w:numId="46">
    <w:abstractNumId w:val="173"/>
  </w:num>
  <w:num w:numId="47">
    <w:abstractNumId w:val="7"/>
  </w:num>
  <w:num w:numId="48">
    <w:abstractNumId w:val="63"/>
  </w:num>
  <w:num w:numId="49">
    <w:abstractNumId w:val="102"/>
  </w:num>
  <w:num w:numId="50">
    <w:abstractNumId w:val="120"/>
  </w:num>
  <w:num w:numId="51">
    <w:abstractNumId w:val="191"/>
  </w:num>
  <w:num w:numId="52">
    <w:abstractNumId w:val="129"/>
  </w:num>
  <w:num w:numId="53">
    <w:abstractNumId w:val="89"/>
  </w:num>
  <w:num w:numId="54">
    <w:abstractNumId w:val="108"/>
  </w:num>
  <w:num w:numId="55">
    <w:abstractNumId w:val="29"/>
  </w:num>
  <w:num w:numId="56">
    <w:abstractNumId w:val="97"/>
  </w:num>
  <w:num w:numId="57">
    <w:abstractNumId w:val="48"/>
  </w:num>
  <w:num w:numId="58">
    <w:abstractNumId w:val="26"/>
  </w:num>
  <w:num w:numId="59">
    <w:abstractNumId w:val="150"/>
  </w:num>
  <w:num w:numId="60">
    <w:abstractNumId w:val="47"/>
  </w:num>
  <w:num w:numId="61">
    <w:abstractNumId w:val="42"/>
  </w:num>
  <w:num w:numId="62">
    <w:abstractNumId w:val="50"/>
  </w:num>
  <w:num w:numId="63">
    <w:abstractNumId w:val="16"/>
  </w:num>
  <w:num w:numId="64">
    <w:abstractNumId w:val="33"/>
  </w:num>
  <w:num w:numId="65">
    <w:abstractNumId w:val="85"/>
  </w:num>
  <w:num w:numId="66">
    <w:abstractNumId w:val="8"/>
  </w:num>
  <w:num w:numId="67">
    <w:abstractNumId w:val="77"/>
  </w:num>
  <w:num w:numId="68">
    <w:abstractNumId w:val="67"/>
  </w:num>
  <w:num w:numId="69">
    <w:abstractNumId w:val="65"/>
  </w:num>
  <w:num w:numId="70">
    <w:abstractNumId w:val="137"/>
  </w:num>
  <w:num w:numId="71">
    <w:abstractNumId w:val="148"/>
  </w:num>
  <w:num w:numId="72">
    <w:abstractNumId w:val="172"/>
  </w:num>
  <w:num w:numId="73">
    <w:abstractNumId w:val="69"/>
  </w:num>
  <w:num w:numId="74">
    <w:abstractNumId w:val="82"/>
  </w:num>
  <w:num w:numId="75">
    <w:abstractNumId w:val="177"/>
  </w:num>
  <w:num w:numId="76">
    <w:abstractNumId w:val="21"/>
  </w:num>
  <w:num w:numId="77">
    <w:abstractNumId w:val="23"/>
  </w:num>
  <w:num w:numId="78">
    <w:abstractNumId w:val="58"/>
  </w:num>
  <w:num w:numId="79">
    <w:abstractNumId w:val="81"/>
  </w:num>
  <w:num w:numId="80">
    <w:abstractNumId w:val="139"/>
  </w:num>
  <w:num w:numId="81">
    <w:abstractNumId w:val="4"/>
  </w:num>
  <w:num w:numId="82">
    <w:abstractNumId w:val="94"/>
  </w:num>
  <w:num w:numId="83">
    <w:abstractNumId w:val="80"/>
  </w:num>
  <w:num w:numId="84">
    <w:abstractNumId w:val="39"/>
  </w:num>
  <w:num w:numId="85">
    <w:abstractNumId w:val="10"/>
  </w:num>
  <w:num w:numId="86">
    <w:abstractNumId w:val="105"/>
  </w:num>
  <w:num w:numId="87">
    <w:abstractNumId w:val="170"/>
  </w:num>
  <w:num w:numId="88">
    <w:abstractNumId w:val="34"/>
  </w:num>
  <w:num w:numId="89">
    <w:abstractNumId w:val="62"/>
  </w:num>
  <w:num w:numId="90">
    <w:abstractNumId w:val="179"/>
  </w:num>
  <w:num w:numId="91">
    <w:abstractNumId w:val="40"/>
  </w:num>
  <w:num w:numId="92">
    <w:abstractNumId w:val="92"/>
  </w:num>
  <w:num w:numId="93">
    <w:abstractNumId w:val="136"/>
  </w:num>
  <w:num w:numId="94">
    <w:abstractNumId w:val="96"/>
  </w:num>
  <w:num w:numId="95">
    <w:abstractNumId w:val="123"/>
  </w:num>
  <w:num w:numId="96">
    <w:abstractNumId w:val="91"/>
  </w:num>
  <w:num w:numId="97">
    <w:abstractNumId w:val="190"/>
  </w:num>
  <w:num w:numId="98">
    <w:abstractNumId w:val="122"/>
  </w:num>
  <w:num w:numId="99">
    <w:abstractNumId w:val="115"/>
  </w:num>
  <w:num w:numId="100">
    <w:abstractNumId w:val="112"/>
  </w:num>
  <w:num w:numId="101">
    <w:abstractNumId w:val="28"/>
  </w:num>
  <w:num w:numId="102">
    <w:abstractNumId w:val="76"/>
  </w:num>
  <w:num w:numId="103">
    <w:abstractNumId w:val="171"/>
  </w:num>
  <w:num w:numId="104">
    <w:abstractNumId w:val="95"/>
  </w:num>
  <w:num w:numId="105">
    <w:abstractNumId w:val="17"/>
  </w:num>
  <w:num w:numId="106">
    <w:abstractNumId w:val="9"/>
  </w:num>
  <w:num w:numId="107">
    <w:abstractNumId w:val="176"/>
  </w:num>
  <w:num w:numId="108">
    <w:abstractNumId w:val="93"/>
  </w:num>
  <w:num w:numId="109">
    <w:abstractNumId w:val="111"/>
  </w:num>
  <w:num w:numId="110">
    <w:abstractNumId w:val="78"/>
  </w:num>
  <w:num w:numId="111">
    <w:abstractNumId w:val="157"/>
  </w:num>
  <w:num w:numId="112">
    <w:abstractNumId w:val="110"/>
  </w:num>
  <w:num w:numId="113">
    <w:abstractNumId w:val="168"/>
  </w:num>
  <w:num w:numId="114">
    <w:abstractNumId w:val="155"/>
  </w:num>
  <w:num w:numId="115">
    <w:abstractNumId w:val="52"/>
  </w:num>
  <w:num w:numId="116">
    <w:abstractNumId w:val="71"/>
  </w:num>
  <w:num w:numId="117">
    <w:abstractNumId w:val="162"/>
  </w:num>
  <w:num w:numId="118">
    <w:abstractNumId w:val="53"/>
  </w:num>
  <w:num w:numId="119">
    <w:abstractNumId w:val="141"/>
  </w:num>
  <w:num w:numId="120">
    <w:abstractNumId w:val="182"/>
  </w:num>
  <w:num w:numId="121">
    <w:abstractNumId w:val="41"/>
  </w:num>
  <w:num w:numId="122">
    <w:abstractNumId w:val="138"/>
  </w:num>
  <w:num w:numId="123">
    <w:abstractNumId w:val="59"/>
  </w:num>
  <w:num w:numId="124">
    <w:abstractNumId w:val="187"/>
  </w:num>
  <w:num w:numId="125">
    <w:abstractNumId w:val="18"/>
  </w:num>
  <w:num w:numId="126">
    <w:abstractNumId w:val="3"/>
  </w:num>
  <w:num w:numId="127">
    <w:abstractNumId w:val="87"/>
  </w:num>
  <w:num w:numId="128">
    <w:abstractNumId w:val="161"/>
  </w:num>
  <w:num w:numId="129">
    <w:abstractNumId w:val="167"/>
  </w:num>
  <w:num w:numId="130">
    <w:abstractNumId w:val="117"/>
  </w:num>
  <w:num w:numId="131">
    <w:abstractNumId w:val="143"/>
  </w:num>
  <w:num w:numId="132">
    <w:abstractNumId w:val="119"/>
  </w:num>
  <w:num w:numId="133">
    <w:abstractNumId w:val="19"/>
  </w:num>
  <w:num w:numId="134">
    <w:abstractNumId w:val="55"/>
  </w:num>
  <w:num w:numId="135">
    <w:abstractNumId w:val="193"/>
  </w:num>
  <w:num w:numId="136">
    <w:abstractNumId w:val="15"/>
  </w:num>
  <w:num w:numId="137">
    <w:abstractNumId w:val="178"/>
  </w:num>
  <w:num w:numId="138">
    <w:abstractNumId w:val="103"/>
  </w:num>
  <w:num w:numId="139">
    <w:abstractNumId w:val="83"/>
  </w:num>
  <w:num w:numId="140">
    <w:abstractNumId w:val="121"/>
  </w:num>
  <w:num w:numId="141">
    <w:abstractNumId w:val="73"/>
  </w:num>
  <w:num w:numId="142">
    <w:abstractNumId w:val="51"/>
  </w:num>
  <w:num w:numId="143">
    <w:abstractNumId w:val="74"/>
  </w:num>
  <w:num w:numId="144">
    <w:abstractNumId w:val="113"/>
  </w:num>
  <w:num w:numId="145">
    <w:abstractNumId w:val="180"/>
  </w:num>
  <w:num w:numId="146">
    <w:abstractNumId w:val="127"/>
  </w:num>
  <w:num w:numId="147">
    <w:abstractNumId w:val="189"/>
  </w:num>
  <w:num w:numId="148">
    <w:abstractNumId w:val="184"/>
  </w:num>
  <w:num w:numId="149">
    <w:abstractNumId w:val="45"/>
  </w:num>
  <w:num w:numId="150">
    <w:abstractNumId w:val="12"/>
  </w:num>
  <w:num w:numId="151">
    <w:abstractNumId w:val="31"/>
  </w:num>
  <w:num w:numId="152">
    <w:abstractNumId w:val="30"/>
  </w:num>
  <w:num w:numId="153">
    <w:abstractNumId w:val="99"/>
  </w:num>
  <w:num w:numId="154">
    <w:abstractNumId w:val="64"/>
  </w:num>
  <w:num w:numId="155">
    <w:abstractNumId w:val="107"/>
  </w:num>
  <w:num w:numId="156">
    <w:abstractNumId w:val="134"/>
  </w:num>
  <w:num w:numId="157">
    <w:abstractNumId w:val="84"/>
  </w:num>
  <w:num w:numId="158">
    <w:abstractNumId w:val="100"/>
  </w:num>
  <w:num w:numId="159">
    <w:abstractNumId w:val="56"/>
  </w:num>
  <w:num w:numId="160">
    <w:abstractNumId w:val="142"/>
  </w:num>
  <w:num w:numId="161">
    <w:abstractNumId w:val="185"/>
  </w:num>
  <w:num w:numId="162">
    <w:abstractNumId w:val="151"/>
  </w:num>
  <w:num w:numId="163">
    <w:abstractNumId w:val="125"/>
  </w:num>
  <w:num w:numId="164">
    <w:abstractNumId w:val="153"/>
  </w:num>
  <w:num w:numId="165">
    <w:abstractNumId w:val="49"/>
  </w:num>
  <w:num w:numId="166">
    <w:abstractNumId w:val="147"/>
  </w:num>
  <w:num w:numId="167">
    <w:abstractNumId w:val="165"/>
  </w:num>
  <w:num w:numId="168">
    <w:abstractNumId w:val="149"/>
  </w:num>
  <w:num w:numId="169">
    <w:abstractNumId w:val="38"/>
  </w:num>
  <w:num w:numId="170">
    <w:abstractNumId w:val="72"/>
  </w:num>
  <w:num w:numId="171">
    <w:abstractNumId w:val="88"/>
  </w:num>
  <w:num w:numId="172">
    <w:abstractNumId w:val="68"/>
  </w:num>
  <w:num w:numId="173">
    <w:abstractNumId w:val="22"/>
  </w:num>
  <w:num w:numId="174">
    <w:abstractNumId w:val="75"/>
  </w:num>
  <w:num w:numId="175">
    <w:abstractNumId w:val="144"/>
  </w:num>
  <w:num w:numId="176">
    <w:abstractNumId w:val="175"/>
  </w:num>
  <w:num w:numId="177">
    <w:abstractNumId w:val="181"/>
  </w:num>
  <w:num w:numId="178">
    <w:abstractNumId w:val="174"/>
  </w:num>
  <w:num w:numId="179">
    <w:abstractNumId w:val="154"/>
  </w:num>
  <w:num w:numId="180">
    <w:abstractNumId w:val="37"/>
  </w:num>
  <w:num w:numId="181">
    <w:abstractNumId w:val="20"/>
  </w:num>
  <w:num w:numId="182">
    <w:abstractNumId w:val="118"/>
  </w:num>
  <w:num w:numId="183">
    <w:abstractNumId w:val="166"/>
  </w:num>
  <w:num w:numId="184">
    <w:abstractNumId w:val="164"/>
  </w:num>
  <w:num w:numId="185">
    <w:abstractNumId w:val="79"/>
  </w:num>
  <w:num w:numId="186">
    <w:abstractNumId w:val="169"/>
  </w:num>
  <w:num w:numId="187">
    <w:abstractNumId w:val="158"/>
  </w:num>
  <w:num w:numId="188">
    <w:abstractNumId w:val="156"/>
  </w:num>
  <w:num w:numId="189">
    <w:abstractNumId w:val="131"/>
  </w:num>
  <w:num w:numId="190">
    <w:abstractNumId w:val="86"/>
  </w:num>
  <w:num w:numId="191">
    <w:abstractNumId w:val="145"/>
  </w:num>
  <w:num w:numId="192">
    <w:abstractNumId w:val="14"/>
  </w:num>
  <w:num w:numId="193">
    <w:abstractNumId w:val="159"/>
  </w:num>
  <w:num w:numId="194">
    <w:abstractNumId w:val="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0B27"/>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510F-0197-4E54-8605-0A30E622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1191</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2019-06-20T04:47:00Z</dcterms:created>
  <dcterms:modified xsi:type="dcterms:W3CDTF">2019-06-20T04:47:00Z</dcterms:modified>
</cp:coreProperties>
</file>