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9" w:rsidRPr="00F31CEF" w:rsidRDefault="000733F9" w:rsidP="000733F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F31CEF" w:rsidRPr="00F31CEF" w:rsidRDefault="00F31CEF" w:rsidP="00F31CE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0733F9" w:rsidRPr="00F31CEF" w:rsidRDefault="00F31CEF" w:rsidP="00F31CE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t>Część 14</w:t>
      </w:r>
      <w:r w:rsidR="000733F9" w:rsidRPr="00F31CEF">
        <w:rPr>
          <w:rFonts w:ascii="Garamond" w:eastAsia="Times New Roman" w:hAnsi="Garamond" w:cs="Times New Roman"/>
          <w:b/>
          <w:lang w:eastAsia="ar-SA"/>
        </w:rPr>
        <w:t xml:space="preserve"> – automat do izolacji kwasów nukleinowych </w:t>
      </w:r>
      <w:r w:rsidRPr="00F31CEF">
        <w:rPr>
          <w:rFonts w:ascii="Garamond" w:eastAsia="Times New Roman" w:hAnsi="Garamond" w:cs="Times New Roman"/>
          <w:b/>
          <w:lang w:eastAsia="ar-SA"/>
        </w:rPr>
        <w:t>(1 sztuka)</w:t>
      </w: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0733F9" w:rsidRPr="00F31CEF" w:rsidRDefault="000733F9" w:rsidP="000733F9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0733F9" w:rsidRPr="00F31CEF" w:rsidRDefault="000733F9" w:rsidP="000733F9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0733F9" w:rsidRPr="00F31CEF" w:rsidRDefault="000733F9" w:rsidP="000733F9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0733F9" w:rsidRPr="00F31CEF" w:rsidRDefault="000733F9" w:rsidP="000733F9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0733F9" w:rsidRPr="00F31CEF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0733F9" w:rsidRDefault="000733F9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F31CEF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F31CEF" w:rsidRPr="00F31CEF" w:rsidRDefault="00F31CEF" w:rsidP="000733F9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F31CEF" w:rsidRPr="00A10F1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F31CEF" w:rsidRPr="00A10F13" w:rsidRDefault="00F31CEF" w:rsidP="003B4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F31CEF" w:rsidRPr="00A10F1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F31CEF" w:rsidRPr="00A10F1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A</w:t>
            </w:r>
            <w:r w:rsidRPr="00F31CEF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utomat do izolacji kwasów nukleinowych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F31CEF" w:rsidRPr="00A10F1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F31CEF" w:rsidRPr="00A10F1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1CEF" w:rsidRPr="00A10F13" w:rsidRDefault="00F31CEF" w:rsidP="003B4A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F31CEF" w:rsidRDefault="00F31CEF" w:rsidP="00F31CEF">
      <w:pPr>
        <w:suppressAutoHyphens/>
        <w:spacing w:after="0" w:line="240" w:lineRule="auto"/>
        <w:rPr>
          <w:rFonts w:ascii="Garamond" w:eastAsia="Lucida Sans Unicode" w:hAnsi="Garamond" w:cs="Mangal"/>
          <w:kern w:val="3"/>
          <w:lang w:eastAsia="zh-CN" w:bidi="hi-IN"/>
        </w:rPr>
      </w:pPr>
    </w:p>
    <w:p w:rsidR="00F31CEF" w:rsidRDefault="00F31CEF">
      <w:pPr>
        <w:rPr>
          <w:rFonts w:ascii="Garamond" w:eastAsia="Lucida Sans Unicode" w:hAnsi="Garamond" w:cs="Mangal"/>
          <w:kern w:val="3"/>
          <w:lang w:eastAsia="zh-CN" w:bidi="hi-IN"/>
        </w:rPr>
      </w:pPr>
      <w:r>
        <w:rPr>
          <w:rFonts w:ascii="Garamond" w:eastAsia="Lucida Sans Unicode" w:hAnsi="Garamond" w:cs="Mangal"/>
          <w:kern w:val="3"/>
          <w:lang w:eastAsia="zh-CN" w:bidi="hi-IN"/>
        </w:rPr>
        <w:br w:type="page"/>
      </w:r>
    </w:p>
    <w:p w:rsidR="000733F9" w:rsidRPr="00F31CEF" w:rsidRDefault="000733F9" w:rsidP="00F31CE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0733F9" w:rsidRPr="00F31CEF" w:rsidRDefault="000733F9" w:rsidP="000733F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943"/>
        <w:gridCol w:w="2410"/>
        <w:gridCol w:w="2410"/>
        <w:gridCol w:w="2264"/>
      </w:tblGrid>
      <w:tr w:rsidR="000733F9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3F9" w:rsidRPr="00F31CEF" w:rsidRDefault="000733F9" w:rsidP="000733F9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F31C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Automat do izolacji kwasów nukleinowych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EF" w:rsidRPr="00F31CEF" w:rsidRDefault="00F31CEF" w:rsidP="000733F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line="0" w:lineRule="atLeast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 xml:space="preserve">Dowolna liczba izolowanych próbek w jednym cyklu – od 1 do 16 przy użyciu fabrycznie zamkniętych </w:t>
            </w:r>
            <w:proofErr w:type="spellStart"/>
            <w:r w:rsidRPr="00F31CEF">
              <w:rPr>
                <w:rFonts w:ascii="Garamond" w:eastAsia="Times New Roman" w:hAnsi="Garamond" w:cs="Times New Roman"/>
              </w:rPr>
              <w:t>kartridży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>System zamknięty oparty na jednokierunkowym transporcie kulek</w:t>
            </w:r>
          </w:p>
          <w:p w:rsidR="00F31CEF" w:rsidRPr="00F31CEF" w:rsidRDefault="00F31CEF" w:rsidP="00E039F5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>magnetycznych w obrębie kartridża, bez transferu cieczy (non-</w:t>
            </w:r>
            <w:proofErr w:type="spellStart"/>
            <w:r w:rsidRPr="00F31CEF">
              <w:rPr>
                <w:rFonts w:ascii="Garamond" w:eastAsia="Times New Roman" w:hAnsi="Garamond" w:cs="Times New Roman"/>
              </w:rPr>
              <w:t>liquid</w:t>
            </w:r>
            <w:proofErr w:type="spellEnd"/>
            <w:r w:rsidRPr="00F31CEF">
              <w:rPr>
                <w:rFonts w:ascii="Garamond" w:eastAsia="Times New Roman" w:hAnsi="Garamond" w:cs="Times New Roman"/>
              </w:rPr>
              <w:t xml:space="preserve"> handler)</w:t>
            </w:r>
            <w:r w:rsidR="00C344C1">
              <w:rPr>
                <w:rFonts w:ascii="Garamond" w:eastAsia="Times New Roman" w:hAnsi="Garamond" w:cs="Times New Roman"/>
              </w:rPr>
              <w:t xml:space="preserve"> </w:t>
            </w:r>
            <w:r w:rsidR="00E039F5" w:rsidRPr="00E039F5">
              <w:rPr>
                <w:rFonts w:ascii="Garamond" w:eastAsia="Times New Roman" w:hAnsi="Garamond" w:cs="Times New Roman"/>
                <w:color w:val="FF0000"/>
              </w:rPr>
              <w:t xml:space="preserve">lub system, w którym zachodzi transport cieczy w obrębie kartridża.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line="0" w:lineRule="atLeast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 xml:space="preserve">Automatyzacja procesu izolacji: liza, przemywanie i </w:t>
            </w:r>
            <w:proofErr w:type="spellStart"/>
            <w:r w:rsidRPr="00F31CEF">
              <w:rPr>
                <w:rFonts w:ascii="Garamond" w:eastAsia="Times New Roman" w:hAnsi="Garamond" w:cs="Times New Roman"/>
              </w:rPr>
              <w:t>elucja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1C5E5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 xml:space="preserve">Możliwość aplikowania różnych objętości buforu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elucyjnego</w:t>
            </w:r>
            <w:proofErr w:type="spellEnd"/>
            <w:r w:rsidRPr="00F31CEF">
              <w:rPr>
                <w:rFonts w:ascii="Garamond" w:eastAsia="Calibri" w:hAnsi="Garamond" w:cs="Times New Roman"/>
              </w:rPr>
              <w:t xml:space="preserve"> dla różnych próbek</w:t>
            </w:r>
            <w:r w:rsidR="00C344C1">
              <w:rPr>
                <w:rFonts w:ascii="Garamond" w:eastAsia="Calibri" w:hAnsi="Garamond" w:cs="Times New Roman"/>
              </w:rPr>
              <w:t xml:space="preserve"> podczas jednego cyklu izolacji</w:t>
            </w:r>
            <w:r w:rsidRPr="00F31CEF">
              <w:rPr>
                <w:rFonts w:ascii="Garamond" w:eastAsia="Calibri" w:hAnsi="Garamond" w:cs="Times New Roman"/>
              </w:rPr>
              <w:t xml:space="preserve">, w zakresie: 30 –100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μl</w:t>
            </w:r>
            <w:proofErr w:type="spellEnd"/>
            <w:r w:rsidR="001C5E59">
              <w:rPr>
                <w:rFonts w:ascii="Garamond" w:eastAsia="Calibri" w:hAnsi="Garamond" w:cs="Times New Roman"/>
              </w:rPr>
              <w:t xml:space="preserve">  </w:t>
            </w:r>
            <w:r w:rsidR="001C5E59" w:rsidRPr="001C5E59">
              <w:rPr>
                <w:rFonts w:ascii="Garamond" w:eastAsia="Calibri" w:hAnsi="Garamond" w:cs="Times New Roman"/>
                <w:color w:val="FF0000"/>
              </w:rPr>
              <w:t>lub aparat, w którym w jednym cyklu izolacji jest możliwość wyboru j</w:t>
            </w:r>
            <w:r w:rsidR="00C344C1">
              <w:rPr>
                <w:rFonts w:ascii="Garamond" w:eastAsia="Calibri" w:hAnsi="Garamond" w:cs="Times New Roman"/>
                <w:color w:val="FF0000"/>
              </w:rPr>
              <w:t xml:space="preserve">ednej objętości </w:t>
            </w:r>
            <w:proofErr w:type="spellStart"/>
            <w:r w:rsidR="00C344C1">
              <w:rPr>
                <w:rFonts w:ascii="Garamond" w:eastAsia="Calibri" w:hAnsi="Garamond" w:cs="Times New Roman"/>
                <w:color w:val="FF0000"/>
              </w:rPr>
              <w:t>elucj</w:t>
            </w:r>
            <w:proofErr w:type="spellEnd"/>
            <w:r w:rsidR="00C344C1">
              <w:rPr>
                <w:rFonts w:ascii="Garamond" w:eastAsia="Calibri" w:hAnsi="Garamond" w:cs="Times New Roman"/>
                <w:color w:val="FF0000"/>
              </w:rPr>
              <w:t xml:space="preserve"> (system o</w:t>
            </w:r>
            <w:r w:rsidR="001C5E59" w:rsidRPr="001C5E59">
              <w:rPr>
                <w:rFonts w:ascii="Garamond" w:eastAsia="Calibri" w:hAnsi="Garamond" w:cs="Times New Roman"/>
                <w:color w:val="FF0000"/>
              </w:rPr>
              <w:t xml:space="preserve"> możliwość </w:t>
            </w:r>
            <w:proofErr w:type="spellStart"/>
            <w:r w:rsidR="001C5E59" w:rsidRPr="001C5E59">
              <w:rPr>
                <w:rFonts w:ascii="Garamond" w:eastAsia="Calibri" w:hAnsi="Garamond" w:cs="Times New Roman"/>
                <w:color w:val="FF0000"/>
              </w:rPr>
              <w:t>elucji</w:t>
            </w:r>
            <w:proofErr w:type="spellEnd"/>
            <w:r w:rsidR="001C5E59" w:rsidRPr="001C5E59">
              <w:rPr>
                <w:rFonts w:ascii="Garamond" w:eastAsia="Calibri" w:hAnsi="Garamond" w:cs="Times New Roman"/>
                <w:color w:val="FF0000"/>
              </w:rPr>
              <w:t xml:space="preserve"> w 30 µl (zestaw do analiz kryminalistycznych), 60 µl, 100 µl, 150 µl i 200 µl</w:t>
            </w:r>
            <w:r w:rsidR="00C344C1">
              <w:rPr>
                <w:rFonts w:ascii="Garamond" w:eastAsia="Calibri" w:hAnsi="Garamond" w:cs="Times New Roman"/>
                <w:color w:val="FF0000"/>
              </w:rPr>
              <w:t>)</w:t>
            </w:r>
            <w:r w:rsidR="001C5E59" w:rsidRPr="001C5E59">
              <w:rPr>
                <w:rFonts w:ascii="Garamond" w:eastAsia="Calibri" w:hAnsi="Garamond" w:cs="Times New Roman"/>
                <w:color w:val="FF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Drzwi aparatu z szybą pozwalającą na obserwację kolejnych etapów procesu izolacji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 xml:space="preserve">Podgrzewany blok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elucyjny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1C5E5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W zestawie – tablet  PC  z graficznym interfejsem oraz preinstalowanym oprogramowaniem i protokołami - Nawigacja po menu na intuicyjnym ekranie dotykowym, na którym w trakcie izolacji pojawiają się informacje o aktualnie przebiegającym etapie -Tablet przystosowany do obsługi w rękawiczkach laboratoryjnych</w:t>
            </w:r>
            <w:r w:rsidR="00C344C1">
              <w:rPr>
                <w:rFonts w:ascii="Garamond" w:eastAsia="Calibri" w:hAnsi="Garamond" w:cs="Times New Roman"/>
              </w:rPr>
              <w:t>,</w:t>
            </w:r>
            <w:r w:rsidR="001C5E59">
              <w:rPr>
                <w:rFonts w:ascii="Garamond" w:eastAsia="Calibri" w:hAnsi="Garamond" w:cs="Times New Roman"/>
              </w:rPr>
              <w:t xml:space="preserve"> </w:t>
            </w:r>
            <w:r w:rsidR="00C344C1">
              <w:rPr>
                <w:rFonts w:ascii="Garamond" w:eastAsia="Calibri" w:hAnsi="Garamond" w:cs="Times New Roman"/>
                <w:color w:val="FF0000"/>
              </w:rPr>
              <w:t>lub</w:t>
            </w:r>
            <w:r w:rsidR="001C5E59" w:rsidRPr="000B6568">
              <w:rPr>
                <w:rFonts w:ascii="Garamond" w:eastAsia="Calibri" w:hAnsi="Garamond" w:cs="Times New Roman"/>
                <w:color w:val="FF0000"/>
              </w:rPr>
              <w:t xml:space="preserve"> aparat z wbudowanym 7-calowym, </w:t>
            </w:r>
            <w:r w:rsidR="00C344C1">
              <w:rPr>
                <w:rFonts w:ascii="Garamond" w:eastAsia="Calibri" w:hAnsi="Garamond" w:cs="Times New Roman"/>
                <w:color w:val="FF0000"/>
              </w:rPr>
              <w:t xml:space="preserve">kolorowym ekranem dotykowym </w:t>
            </w:r>
            <w:r w:rsidR="001C5E59" w:rsidRPr="000B6568">
              <w:rPr>
                <w:rFonts w:ascii="Garamond" w:eastAsia="Calibri" w:hAnsi="Garamond" w:cs="Times New Roman"/>
                <w:color w:val="FF0000"/>
              </w:rPr>
              <w:t>bez uchwytu na tablet.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Wbudowana lampa UV do dekontaminacji aparatu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 xml:space="preserve">Zainstalowane protokoły do izolacji kwasów nukleinowych z różnych rodzajów </w:t>
            </w:r>
            <w:r w:rsidRPr="00F31CEF">
              <w:rPr>
                <w:rFonts w:ascii="Garamond" w:eastAsia="Calibri" w:hAnsi="Garamond" w:cs="Times New Roman"/>
              </w:rPr>
              <w:lastRenderedPageBreak/>
              <w:t>materiałów klinicznych oraz z bloczków parafinowych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color w:val="000000"/>
              </w:rPr>
            </w:pPr>
            <w:r w:rsidRPr="00F31CEF">
              <w:rPr>
                <w:rFonts w:ascii="Garamond" w:eastAsia="Calibri" w:hAnsi="Garamond" w:cs="Times New Roman"/>
                <w:color w:val="000000"/>
              </w:rPr>
              <w:t xml:space="preserve">Możliwość zastosowania w aparacie izolacji </w:t>
            </w:r>
            <w:proofErr w:type="spellStart"/>
            <w:r w:rsidRPr="00F31CEF">
              <w:rPr>
                <w:rFonts w:ascii="Garamond" w:eastAsia="Calibri" w:hAnsi="Garamond" w:cs="Times New Roman"/>
                <w:color w:val="000000"/>
              </w:rPr>
              <w:t>wolnokrążącego</w:t>
            </w:r>
            <w:proofErr w:type="spellEnd"/>
            <w:r w:rsidRPr="00F31CEF">
              <w:rPr>
                <w:rFonts w:ascii="Garamond" w:eastAsia="Calibri" w:hAnsi="Garamond" w:cs="Times New Roman"/>
                <w:color w:val="000000"/>
              </w:rPr>
              <w:t xml:space="preserve"> DNA </w:t>
            </w:r>
          </w:p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(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ccfDNA</w:t>
            </w:r>
            <w:proofErr w:type="spellEnd"/>
            <w:r w:rsidRPr="00F31CEF">
              <w:rPr>
                <w:rFonts w:ascii="Garamond" w:eastAsia="Calibri" w:hAnsi="Garamond" w:cs="Times New Roman"/>
              </w:rPr>
              <w:t xml:space="preserve">) i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miRNA</w:t>
            </w:r>
            <w:proofErr w:type="spellEnd"/>
            <w:r w:rsidRPr="00F31CEF">
              <w:rPr>
                <w:rFonts w:ascii="Garamond" w:eastAsia="Calibri" w:hAnsi="Garamond" w:cs="Times New Roman"/>
              </w:rPr>
              <w:t xml:space="preserve"> z krwi i tkanek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Cykl izolacji może być w dowolnym momencie zatrzymany i wznowiony bez utraty materiału genetycznego z danej próbki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------</w:t>
            </w:r>
          </w:p>
        </w:tc>
      </w:tr>
      <w:tr w:rsidR="00F31CEF" w:rsidRPr="00F31CEF" w:rsidTr="00F31CEF">
        <w:trPr>
          <w:trHeight w:val="3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Możliwa izolacja z różnego materiału wyjściowego w jednym cyklu</w:t>
            </w:r>
          </w:p>
          <w:p w:rsidR="00F31CEF" w:rsidRPr="00F31CEF" w:rsidRDefault="00F31CEF" w:rsidP="00F31CEF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izolacji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Nowe protokoły i aktualizacje dostarczane bez dodatkowych opłat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568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 xml:space="preserve">Czytnik kodów kreskowych wraz z oprogramowaniem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barcode</w:t>
            </w:r>
            <w:proofErr w:type="spellEnd"/>
            <w:r w:rsidRPr="00F31CEF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F31CEF">
              <w:rPr>
                <w:rFonts w:ascii="Garamond" w:eastAsia="Calibri" w:hAnsi="Garamond" w:cs="Times New Roman"/>
              </w:rPr>
              <w:t>tracking</w:t>
            </w:r>
            <w:proofErr w:type="spellEnd"/>
            <w:r w:rsidR="000B6568">
              <w:rPr>
                <w:rFonts w:ascii="Garamond" w:eastAsia="Calibri" w:hAnsi="Garamond" w:cs="Times New Roman"/>
              </w:rPr>
              <w:t xml:space="preserve"> </w:t>
            </w:r>
            <w:r w:rsidR="000B6568" w:rsidRPr="000B6568">
              <w:rPr>
                <w:rFonts w:ascii="Garamond" w:eastAsia="Calibri" w:hAnsi="Garamond" w:cs="Times New Roman"/>
                <w:color w:val="FF0000"/>
              </w:rPr>
              <w:t xml:space="preserve">lub   czytnik </w:t>
            </w:r>
            <w:proofErr w:type="spellStart"/>
            <w:r w:rsidR="000B6568" w:rsidRPr="000B6568">
              <w:rPr>
                <w:rFonts w:ascii="Garamond" w:eastAsia="Calibri" w:hAnsi="Garamond" w:cs="Times New Roman"/>
                <w:color w:val="FF0000"/>
              </w:rPr>
              <w:t>barcodów</w:t>
            </w:r>
            <w:proofErr w:type="spellEnd"/>
            <w:r w:rsidR="000B6568" w:rsidRPr="000B6568">
              <w:rPr>
                <w:rFonts w:ascii="Garamond" w:eastAsia="Calibri" w:hAnsi="Garamond" w:cs="Times New Roman"/>
                <w:color w:val="FF0000"/>
              </w:rPr>
              <w:t>, z moż</w:t>
            </w:r>
            <w:r w:rsidR="00C344C1">
              <w:rPr>
                <w:rFonts w:ascii="Garamond" w:eastAsia="Calibri" w:hAnsi="Garamond" w:cs="Times New Roman"/>
                <w:color w:val="FF0000"/>
              </w:rPr>
              <w:t>liwością podłączenia do LIMS. W</w:t>
            </w:r>
            <w:r w:rsidR="000B6568" w:rsidRPr="000B6568">
              <w:rPr>
                <w:rFonts w:ascii="Garamond" w:eastAsia="Calibri" w:hAnsi="Garamond" w:cs="Times New Roman"/>
                <w:color w:val="FF0000"/>
              </w:rPr>
              <w:t xml:space="preserve">budowane oprogramowanie umożliwiające skanowanie </w:t>
            </w:r>
            <w:proofErr w:type="spellStart"/>
            <w:r w:rsidR="000B6568" w:rsidRPr="000B6568">
              <w:rPr>
                <w:rFonts w:ascii="Garamond" w:eastAsia="Calibri" w:hAnsi="Garamond" w:cs="Times New Roman"/>
                <w:color w:val="FF0000"/>
              </w:rPr>
              <w:t>barcodów</w:t>
            </w:r>
            <w:proofErr w:type="spellEnd"/>
            <w:r w:rsidR="000B6568" w:rsidRPr="000B6568">
              <w:rPr>
                <w:rFonts w:ascii="Garamond" w:eastAsia="Calibri" w:hAnsi="Garamond" w:cs="Times New Roman"/>
                <w:color w:val="FF0000"/>
              </w:rPr>
              <w:t xml:space="preserve"> i zapisywanie zeskanowanych kodów.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Uchwyt na tablet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F31CEF">
            <w:pPr>
              <w:spacing w:line="0" w:lineRule="atLeast"/>
              <w:rPr>
                <w:rFonts w:ascii="Garamond" w:eastAsia="Times New Roman" w:hAnsi="Garamond" w:cs="Times New Roman"/>
              </w:rPr>
            </w:pPr>
            <w:r w:rsidRPr="00F31CEF">
              <w:rPr>
                <w:rFonts w:ascii="Garamond" w:eastAsia="Times New Roman" w:hAnsi="Garamond" w:cs="Times New Roman"/>
              </w:rPr>
              <w:t>Port USB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B6568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Możliwość podłączenia drukarki</w:t>
            </w:r>
            <w:r w:rsidR="000B6568">
              <w:rPr>
                <w:rFonts w:ascii="Garamond" w:eastAsia="Calibri" w:hAnsi="Garamond" w:cs="Times New Roman"/>
              </w:rPr>
              <w:t xml:space="preserve"> </w:t>
            </w:r>
            <w:r w:rsidR="00C344C1">
              <w:rPr>
                <w:rFonts w:ascii="Garamond" w:eastAsia="Calibri" w:hAnsi="Garamond" w:cs="Times New Roman"/>
                <w:color w:val="FF0000"/>
              </w:rPr>
              <w:t xml:space="preserve">lub </w:t>
            </w:r>
            <w:r w:rsidR="000B6568" w:rsidRPr="000B6568">
              <w:rPr>
                <w:rFonts w:ascii="Garamond" w:eastAsia="Calibri" w:hAnsi="Garamond" w:cs="Times New Roman"/>
                <w:color w:val="FF0000"/>
              </w:rPr>
              <w:t xml:space="preserve">z wbudowaną drukarką termiczną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B6568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Waga do 12kg</w:t>
            </w:r>
            <w:r w:rsidR="000B6568">
              <w:t xml:space="preserve"> </w:t>
            </w:r>
            <w:r w:rsidR="000B6568">
              <w:rPr>
                <w:rFonts w:ascii="Garamond" w:eastAsia="Calibri" w:hAnsi="Garamond" w:cs="Times New Roman"/>
              </w:rPr>
              <w:t xml:space="preserve"> </w:t>
            </w:r>
            <w:r w:rsidR="000B6568" w:rsidRPr="000B6568">
              <w:rPr>
                <w:rFonts w:ascii="Garamond" w:eastAsia="Calibri" w:hAnsi="Garamond" w:cs="Times New Roman"/>
                <w:color w:val="FF0000"/>
              </w:rPr>
              <w:t xml:space="preserve">lub  78 kg  z wbudowaną drukarką, wbudowanym spektrofotometrem, zastosowaniem </w:t>
            </w:r>
            <w:proofErr w:type="spellStart"/>
            <w:r w:rsidR="000B6568" w:rsidRPr="000B6568">
              <w:rPr>
                <w:rFonts w:ascii="Garamond" w:eastAsia="Calibri" w:hAnsi="Garamond" w:cs="Times New Roman"/>
                <w:color w:val="FF0000"/>
              </w:rPr>
              <w:t>holderów</w:t>
            </w:r>
            <w:proofErr w:type="spellEnd"/>
            <w:r w:rsidR="000B6568" w:rsidRPr="000B6568">
              <w:rPr>
                <w:rFonts w:ascii="Garamond" w:eastAsia="Calibri" w:hAnsi="Garamond" w:cs="Times New Roman"/>
                <w:color w:val="FF0000"/>
              </w:rPr>
              <w:t xml:space="preserve"> na próbki (możliwość izolacji z 200, 400 lub 1200 µl) oraz możliwością wykonania pełnego procesu </w:t>
            </w:r>
            <w:proofErr w:type="spellStart"/>
            <w:r w:rsidR="000B6568" w:rsidRPr="000B6568">
              <w:rPr>
                <w:rFonts w:ascii="Garamond" w:eastAsia="Calibri" w:hAnsi="Garamond" w:cs="Times New Roman"/>
                <w:color w:val="FF0000"/>
              </w:rPr>
              <w:t>deparafinizacji</w:t>
            </w:r>
            <w:proofErr w:type="spellEnd"/>
            <w:r w:rsidR="000B6568" w:rsidRPr="000B6568">
              <w:rPr>
                <w:rFonts w:ascii="Garamond" w:eastAsia="Calibri" w:hAnsi="Garamond" w:cs="Times New Roman"/>
                <w:color w:val="FF0000"/>
              </w:rPr>
              <w:t xml:space="preserve"> wewnątrz instrumentu (wbudowany blok grzewczy).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0B6568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Zestaw startowy do izolacji materiału tkankowego z bloczków parafinowych na 48 próbek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jc w:val="center"/>
              <w:rPr>
                <w:rFonts w:ascii="Garamond" w:eastAsia="Calibri" w:hAnsi="Garamond" w:cs="Times New Roman"/>
              </w:rPr>
            </w:pPr>
            <w:r w:rsidRPr="00F31CEF">
              <w:rPr>
                <w:rFonts w:ascii="Garamond" w:eastAsia="Calibri" w:hAnsi="Garamond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1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Warunki energetyczne urządzenia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F31CEF" w:rsidRPr="00F31CEF" w:rsidTr="00F31CE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31CEF" w:rsidRPr="00F31CEF" w:rsidRDefault="00F31CEF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F31CEF" w:rsidRPr="00F31CEF" w:rsidRDefault="00F31CEF" w:rsidP="00F31C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0733F9" w:rsidRPr="00F31CEF" w:rsidRDefault="000733F9" w:rsidP="000733F9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733F9" w:rsidRPr="00F31CEF" w:rsidRDefault="000733F9" w:rsidP="00455765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0733F9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 w:rsidR="00455765"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F31CEF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F31CEF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F31CEF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616E98" w:rsidP="00955C4F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Czas na naprawę usterki</w:t>
            </w:r>
            <w:r w:rsidR="00955C4F">
              <w:rPr>
                <w:rFonts w:ascii="Garamond" w:eastAsia="Times New Roman" w:hAnsi="Garamond" w:cs="Times New Roman"/>
                <w:lang w:eastAsia="ar-SA"/>
              </w:rPr>
              <w:t xml:space="preserve">, </w:t>
            </w:r>
            <w:r w:rsidR="00955C4F" w:rsidRPr="00955C4F">
              <w:rPr>
                <w:rFonts w:ascii="Garamond" w:eastAsia="Times New Roman" w:hAnsi="Garamond" w:cs="Times New Roman"/>
                <w:color w:val="FF0000"/>
                <w:lang w:eastAsia="ar-SA"/>
              </w:rPr>
              <w:t>(również w przypadku potrzeby sprowadzenia części zamiennych)</w:t>
            </w:r>
            <w:r w:rsidRPr="00955C4F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 </w:t>
            </w:r>
            <w:r w:rsidRPr="00616E98">
              <w:rPr>
                <w:rFonts w:ascii="Garamond" w:eastAsia="Times New Roman" w:hAnsi="Garamond" w:cs="Times New Roman"/>
                <w:color w:val="FF0000"/>
                <w:lang w:eastAsia="ar-SA"/>
              </w:rPr>
              <w:t>– do 14</w:t>
            </w:r>
            <w:r w:rsidR="00F31CEF" w:rsidRPr="00616E98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 dni</w:t>
            </w:r>
            <w:r w:rsidR="00955C4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="00F31CEF" w:rsidRPr="00F31CEF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  <w:r w:rsidR="00955C4F">
              <w:rPr>
                <w:rFonts w:ascii="Garamond" w:eastAsia="Times New Roman" w:hAnsi="Garamond" w:cs="Times New Roman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616E98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F31CEF" w:rsidRPr="00F31CEF">
              <w:rPr>
                <w:rFonts w:ascii="Garamond" w:eastAsia="Times New Roman" w:hAnsi="Garamond" w:cs="Times New Roman"/>
                <w:lang w:eastAsia="ar-SA"/>
              </w:rPr>
              <w:t>ak</w:t>
            </w:r>
            <w:r w:rsidR="00214709" w:rsidRPr="00214709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, </w:t>
            </w:r>
            <w:r w:rsidRPr="00214709">
              <w:rPr>
                <w:rFonts w:ascii="Garamond" w:eastAsia="Times New Roman" w:hAnsi="Garamond" w:cs="Times New Roman"/>
                <w:color w:val="FF000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214709" w:rsidRDefault="00616E98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  <w:r w:rsidRPr="00214709">
              <w:rPr>
                <w:rFonts w:ascii="Garamond" w:eastAsia="Times New Roman" w:hAnsi="Garamond" w:cs="Times New Roman"/>
                <w:color w:val="FF0000"/>
                <w:lang w:eastAsia="ar-SA"/>
              </w:rPr>
              <w:t>Czas naprawy 14 dni - 0 pkt</w:t>
            </w:r>
          </w:p>
          <w:p w:rsidR="00616E98" w:rsidRPr="00F31CEF" w:rsidRDefault="00616E98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214709">
              <w:rPr>
                <w:rFonts w:ascii="Garamond" w:eastAsia="Times New Roman" w:hAnsi="Garamond" w:cs="Times New Roman"/>
                <w:color w:val="FF0000"/>
                <w:lang w:eastAsia="ar-SA"/>
              </w:rPr>
              <w:t>Poniżej – 3 pkt.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455765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455765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144E24" w:rsidRPr="00144E24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Dokumentacja serwisowa i/lub oprogramowanie serwisowe na potrzeby Zamawiającego (dokumentacja zapewni co najmniej pełną diagnostykę 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lastRenderedPageBreak/>
              <w:t>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455765" w:rsidP="000733F9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0733F9" w:rsidRPr="00F31CEF" w:rsidRDefault="000733F9" w:rsidP="000733F9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0733F9" w:rsidRPr="00F31CEF" w:rsidRDefault="000733F9" w:rsidP="00455765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F31CEF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517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652"/>
        <w:gridCol w:w="2409"/>
        <w:gridCol w:w="2410"/>
        <w:gridCol w:w="2268"/>
      </w:tblGrid>
      <w:tr w:rsidR="000733F9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F9" w:rsidRPr="00F31CEF" w:rsidRDefault="000733F9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733F9" w:rsidRPr="00F31CEF" w:rsidRDefault="000733F9" w:rsidP="000733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F31CEF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455765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Instrukcja obsługi w języ</w:t>
            </w:r>
            <w:r w:rsidR="00455765">
              <w:rPr>
                <w:rFonts w:ascii="Garamond" w:eastAsia="Times New Roman" w:hAnsi="Garamond" w:cs="Times New Roman"/>
                <w:lang w:eastAsia="ar-SA"/>
              </w:rPr>
              <w:t>ku polskim w formie drukowanej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Szkolenie dla personelu medyczn</w:t>
            </w:r>
            <w:r w:rsidR="00455765">
              <w:rPr>
                <w:rFonts w:ascii="Garamond" w:eastAsia="Times New Roman" w:hAnsi="Garamond" w:cs="Times New Roman"/>
                <w:lang w:eastAsia="ar-SA"/>
              </w:rPr>
              <w:t>ego (2 osób) i technicznego (</w:t>
            </w:r>
            <w:r w:rsidRPr="00F31CEF">
              <w:rPr>
                <w:rFonts w:ascii="Garamond" w:eastAsia="Times New Roman" w:hAnsi="Garamond" w:cs="Times New Roman"/>
                <w:lang w:eastAsia="ar-SA"/>
              </w:rPr>
              <w:t>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rPr>
          <w:trHeight w:val="7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F31CEF" w:rsidRPr="00F31CEF" w:rsidTr="0045576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F31CEF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bCs/>
                <w:lang w:eastAsia="ar-S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CEF" w:rsidRPr="00F31CEF" w:rsidRDefault="00F31CEF" w:rsidP="000733F9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1CEF" w:rsidRPr="00F31CEF" w:rsidRDefault="00F31CEF" w:rsidP="000733F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F31CEF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0733F9" w:rsidRPr="00F31CEF" w:rsidTr="00455765">
        <w:trPr>
          <w:gridBefore w:val="4"/>
          <w:wBefore w:w="12249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3F9" w:rsidRPr="00F31CEF" w:rsidRDefault="000733F9" w:rsidP="000733F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94705C" w:rsidRPr="00F31CEF" w:rsidRDefault="0094705C">
      <w:pPr>
        <w:rPr>
          <w:rFonts w:ascii="Garamond" w:hAnsi="Garamond"/>
        </w:rPr>
      </w:pPr>
    </w:p>
    <w:sectPr w:rsidR="0094705C" w:rsidRPr="00F31CEF" w:rsidSect="00F31CEF">
      <w:headerReference w:type="default" r:id="rId8"/>
      <w:footerReference w:type="default" r:id="rId9"/>
      <w:pgSz w:w="16838" w:h="11906" w:orient="landscape"/>
      <w:pgMar w:top="1562" w:right="1417" w:bottom="1276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F6" w:rsidRDefault="000522F6" w:rsidP="00F31CEF">
      <w:pPr>
        <w:spacing w:after="0" w:line="240" w:lineRule="auto"/>
      </w:pPr>
      <w:r>
        <w:separator/>
      </w:r>
    </w:p>
  </w:endnote>
  <w:endnote w:type="continuationSeparator" w:id="0">
    <w:p w:rsidR="000522F6" w:rsidRDefault="000522F6" w:rsidP="00F3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561631987"/>
      <w:docPartObj>
        <w:docPartGallery w:val="Page Numbers (Bottom of Page)"/>
        <w:docPartUnique/>
      </w:docPartObj>
    </w:sdtPr>
    <w:sdtEndPr/>
    <w:sdtContent>
      <w:p w:rsidR="00F31CEF" w:rsidRPr="00F31CEF" w:rsidRDefault="00F31CEF" w:rsidP="00F31CEF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</w:rPr>
        </w:pPr>
        <w:r w:rsidRPr="00A10F13">
          <w:rPr>
            <w:rFonts w:ascii="Calibri" w:eastAsia="Calibri" w:hAnsi="Calibri" w:cs="Times New Roman"/>
          </w:rPr>
          <w:fldChar w:fldCharType="begin"/>
        </w:r>
        <w:r w:rsidRPr="00A10F13">
          <w:rPr>
            <w:rFonts w:ascii="Calibri" w:eastAsia="Calibri" w:hAnsi="Calibri" w:cs="Times New Roman"/>
          </w:rPr>
          <w:instrText>PAGE   \* MERGEFORMAT</w:instrText>
        </w:r>
        <w:r w:rsidRPr="00A10F13">
          <w:rPr>
            <w:rFonts w:ascii="Calibri" w:eastAsia="Calibri" w:hAnsi="Calibri" w:cs="Times New Roman"/>
          </w:rPr>
          <w:fldChar w:fldCharType="separate"/>
        </w:r>
        <w:r w:rsidR="00955C4F">
          <w:rPr>
            <w:rFonts w:ascii="Calibri" w:eastAsia="Calibri" w:hAnsi="Calibri" w:cs="Times New Roman"/>
            <w:noProof/>
          </w:rPr>
          <w:t>4</w:t>
        </w:r>
        <w:r w:rsidRPr="00A10F13">
          <w:rPr>
            <w:rFonts w:ascii="Calibri" w:eastAsia="Calibri" w:hAnsi="Calibri" w:cs="Times New Roman"/>
          </w:rPr>
          <w:fldChar w:fldCharType="end"/>
        </w:r>
        <w:r w:rsidRPr="00A10F13">
          <w:rPr>
            <w:rFonts w:ascii="Calibri" w:eastAsia="Calibri" w:hAnsi="Calibri" w:cs="Times New Roman"/>
          </w:rPr>
          <w:t xml:space="preserve"> </w:t>
        </w:r>
        <w:r w:rsidRPr="00A10F13">
          <w:rPr>
            <w:rFonts w:ascii="Calibri" w:eastAsia="Calibri" w:hAnsi="Calibri" w:cs="Times New Roman"/>
          </w:rPr>
          <w:tab/>
        </w:r>
        <w:r w:rsidRPr="00A10F13">
          <w:rPr>
            <w:rFonts w:ascii="Calibri" w:eastAsia="Calibri" w:hAnsi="Calibri" w:cs="Times New Roman"/>
          </w:rPr>
          <w:tab/>
          <w:t xml:space="preserve">                                       </w:t>
        </w:r>
        <w:r w:rsidRPr="00A10F13">
          <w:rPr>
            <w:rFonts w:ascii="Garamond" w:eastAsia="Calibri" w:hAnsi="Garamond" w:cs="Times New Roman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F6" w:rsidRDefault="000522F6" w:rsidP="00F31CEF">
      <w:pPr>
        <w:spacing w:after="0" w:line="240" w:lineRule="auto"/>
      </w:pPr>
      <w:r>
        <w:separator/>
      </w:r>
    </w:p>
  </w:footnote>
  <w:footnote w:type="continuationSeparator" w:id="0">
    <w:p w:rsidR="000522F6" w:rsidRDefault="000522F6" w:rsidP="00F3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EF" w:rsidRPr="00A10F13" w:rsidRDefault="00F31CEF" w:rsidP="00F31CEF">
    <w:pPr>
      <w:tabs>
        <w:tab w:val="center" w:pos="4536"/>
      </w:tabs>
      <w:spacing w:after="0" w:line="240" w:lineRule="auto"/>
      <w:rPr>
        <w:rFonts w:ascii="Garamond" w:eastAsia="Calibri" w:hAnsi="Garamond" w:cs="Times New Roman"/>
        <w:color w:val="000000"/>
      </w:rPr>
    </w:pPr>
    <w:r w:rsidRPr="00A10F13">
      <w:rPr>
        <w:rFonts w:ascii="Garamond" w:eastAsia="Calibri" w:hAnsi="Garamond" w:cs="Times New Roman"/>
        <w:color w:val="000000"/>
      </w:rPr>
      <w:t>DFP.271.179.2018.LS</w:t>
    </w:r>
  </w:p>
  <w:p w:rsidR="00F31CEF" w:rsidRPr="00A10F13" w:rsidRDefault="00F31CEF" w:rsidP="00F31CEF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1a do specyfikacji</w:t>
    </w:r>
  </w:p>
  <w:p w:rsidR="00F31CEF" w:rsidRPr="00A10F13" w:rsidRDefault="00F31CEF" w:rsidP="00F31CEF">
    <w:pPr>
      <w:tabs>
        <w:tab w:val="center" w:pos="4536"/>
        <w:tab w:val="left" w:pos="7764"/>
        <w:tab w:val="right" w:pos="9072"/>
        <w:tab w:val="right" w:pos="14004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>
      <w:rPr>
        <w:rFonts w:ascii="Garamond" w:eastAsia="Times New Roman" w:hAnsi="Garamond" w:cs="Times New Roman"/>
        <w:lang w:eastAsia="pl-PL"/>
      </w:rPr>
      <w:tab/>
    </w:r>
    <w:r w:rsidRPr="00A10F13">
      <w:rPr>
        <w:rFonts w:ascii="Garamond" w:eastAsia="Times New Roman" w:hAnsi="Garamond" w:cs="Times New Roman"/>
        <w:lang w:eastAsia="pl-PL"/>
      </w:rPr>
      <w:t>Załącznik nr …… do umowy</w:t>
    </w:r>
  </w:p>
  <w:p w:rsidR="00F31CEF" w:rsidRPr="00F31CEF" w:rsidRDefault="00F31CEF" w:rsidP="00F31C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Garamond" w:eastAsia="Times New Roman" w:hAnsi="Garamond" w:cs="Times New Roman"/>
        <w:lang w:eastAsia="pl-PL"/>
      </w:rPr>
      <w:t>Część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5467ECB"/>
    <w:multiLevelType w:val="hybridMultilevel"/>
    <w:tmpl w:val="2A0C7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F9"/>
    <w:rsid w:val="000522F6"/>
    <w:rsid w:val="000733F9"/>
    <w:rsid w:val="000B6568"/>
    <w:rsid w:val="00144E24"/>
    <w:rsid w:val="001C5E59"/>
    <w:rsid w:val="00214709"/>
    <w:rsid w:val="003C5BC9"/>
    <w:rsid w:val="00455765"/>
    <w:rsid w:val="0051021A"/>
    <w:rsid w:val="0054425F"/>
    <w:rsid w:val="00616E98"/>
    <w:rsid w:val="0094705C"/>
    <w:rsid w:val="00955C4F"/>
    <w:rsid w:val="00987F2E"/>
    <w:rsid w:val="00C344C1"/>
    <w:rsid w:val="00CF359D"/>
    <w:rsid w:val="00D272D2"/>
    <w:rsid w:val="00D65FE2"/>
    <w:rsid w:val="00E039F5"/>
    <w:rsid w:val="00EB37F6"/>
    <w:rsid w:val="00EC4F10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33F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33F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733F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33F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33F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F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33F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0733F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733F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733F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0733F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3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EF"/>
  </w:style>
  <w:style w:type="paragraph" w:styleId="Stopka">
    <w:name w:val="footer"/>
    <w:basedOn w:val="Normalny"/>
    <w:link w:val="StopkaZnak"/>
    <w:uiPriority w:val="99"/>
    <w:unhideWhenUsed/>
    <w:rsid w:val="00F3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EF"/>
  </w:style>
  <w:style w:type="paragraph" w:styleId="Akapitzlist">
    <w:name w:val="List Paragraph"/>
    <w:basedOn w:val="Normalny"/>
    <w:uiPriority w:val="34"/>
    <w:qFormat/>
    <w:rsid w:val="00F3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33F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33F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733F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33F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33F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F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33F9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0733F9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733F9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733F9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0733F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3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EF"/>
  </w:style>
  <w:style w:type="paragraph" w:styleId="Stopka">
    <w:name w:val="footer"/>
    <w:basedOn w:val="Normalny"/>
    <w:link w:val="StopkaZnak"/>
    <w:uiPriority w:val="99"/>
    <w:unhideWhenUsed/>
    <w:rsid w:val="00F3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EF"/>
  </w:style>
  <w:style w:type="paragraph" w:styleId="Akapitzlist">
    <w:name w:val="List Paragraph"/>
    <w:basedOn w:val="Normalny"/>
    <w:uiPriority w:val="34"/>
    <w:qFormat/>
    <w:rsid w:val="00F3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4</cp:revision>
  <dcterms:created xsi:type="dcterms:W3CDTF">2018-10-08T10:19:00Z</dcterms:created>
  <dcterms:modified xsi:type="dcterms:W3CDTF">2018-10-09T09:37:00Z</dcterms:modified>
</cp:coreProperties>
</file>