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6959DB5E" w:rsidR="0097030B" w:rsidRPr="00FF4BF5" w:rsidRDefault="00A97567" w:rsidP="00F4236B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474D64" w:rsidRPr="00474D64">
        <w:rPr>
          <w:rFonts w:ascii="Century Gothic" w:hAnsi="Century Gothic"/>
          <w:b/>
          <w:sz w:val="20"/>
        </w:rPr>
        <w:t xml:space="preserve"> nr 3 - Infuzja specjalistyczna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6CBD9FD2" w14:textId="5704786D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6853B7" w:rsidRPr="00FF4BF5" w14:paraId="0C7F1CFC" w14:textId="77777777" w:rsidTr="006853B7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15EC5" w14:textId="77777777" w:rsidR="006853B7" w:rsidRPr="003C130B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25AD82C9" w14:textId="77777777" w:rsidR="006853B7" w:rsidRPr="00DB32A3" w:rsidRDefault="006853B7" w:rsidP="006853B7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1B7669CD" w14:textId="77777777" w:rsidTr="006853B7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95C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F8A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EB0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08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A1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28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6853B7" w:rsidRPr="00FF4BF5" w14:paraId="428AB82F" w14:textId="77777777" w:rsidTr="006853B7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940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6A6" w14:textId="7D55E30A" w:rsidR="006853B7" w:rsidRPr="00665F92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specjalistyczna: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7375EF" w:rsidRPr="00665F92" w14:paraId="31FD9B1E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0A8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836" w14:textId="77777777" w:rsidR="007375EF" w:rsidRPr="00FF4BF5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23" w14:textId="5E36C63E" w:rsidR="007375EF" w:rsidRPr="00665F92" w:rsidRDefault="007375EF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64F" w14:textId="5EA4ABD8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031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9F6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18D9F4EA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A556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37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CC4" w14:textId="292B2EAE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3CE" w14:textId="441E88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F3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ADF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37B60CC6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651C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48B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53A" w14:textId="36D1FE52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CC4" w14:textId="418EF1CD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E3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4D37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50C1E2C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E0F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5A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4C1" w14:textId="426D89FA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A38" w14:textId="2ED224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279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46A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E71F87F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0F6A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8C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0A3" w14:textId="7E426073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1091" w14:textId="3593F66E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55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50E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1CB872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F4E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64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399" w14:textId="26E27528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FB2" w14:textId="3C473052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4B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3D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6853B7" w:rsidRPr="00FF4BF5" w14:paraId="79240B19" w14:textId="77777777" w:rsidTr="006853B7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A76F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2324030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55CBB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655" w14:textId="1F43A33E" w:rsidR="006853B7" w:rsidRPr="00FF4BF5" w:rsidRDefault="006853B7" w:rsidP="006853B7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1-6):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733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EDB9275" w14:textId="77777777" w:rsidTr="006853B7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387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BBBFF3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AD7B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2F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38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D9B" w14:textId="77777777" w:rsidR="006853B7" w:rsidRPr="00FF4BF5" w:rsidRDefault="006853B7" w:rsidP="006853B7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853B7" w:rsidRPr="00FF4BF5" w14:paraId="12127828" w14:textId="77777777" w:rsidTr="006853B7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C2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2092B3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C1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86494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2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3E9057F" w14:textId="77777777" w:rsidTr="006853B7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424A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3EDB9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87B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E9F8C2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E15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6F9A1F6C" w14:textId="77777777" w:rsidTr="006853B7">
        <w:trPr>
          <w:trHeight w:val="93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49288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4A7E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A83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2AF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BC0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6B46BFF" w14:textId="77777777" w:rsidR="006853B7" w:rsidRDefault="006853B7" w:rsidP="006853B7">
      <w:pPr>
        <w:rPr>
          <w:rFonts w:ascii="Century Gothic" w:hAnsi="Century Gothic"/>
          <w:sz w:val="16"/>
          <w:szCs w:val="16"/>
        </w:rPr>
      </w:pPr>
    </w:p>
    <w:p w14:paraId="529FCF8E" w14:textId="77777777" w:rsidR="006853B7" w:rsidRPr="001D57E8" w:rsidRDefault="006853B7" w:rsidP="006853B7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6853B7" w:rsidRPr="00FF4BF5" w14:paraId="02F4C29C" w14:textId="77777777" w:rsidTr="006853B7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A6415" w14:textId="77777777" w:rsidR="006853B7" w:rsidRPr="00FF4BF5" w:rsidRDefault="006853B7" w:rsidP="006853B7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560E703D" w14:textId="77777777" w:rsidR="006853B7" w:rsidRPr="00DB32A3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853B7" w:rsidRPr="00FF4BF5" w14:paraId="69A9F36C" w14:textId="77777777" w:rsidTr="006853B7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A841C" w14:textId="77777777" w:rsidR="006853B7" w:rsidRPr="001D57E8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EAD0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05D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17B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E17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8F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6853B7" w:rsidRPr="00FF4BF5" w14:paraId="006F7314" w14:textId="77777777" w:rsidTr="006853B7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6C" w14:textId="17A6BAF3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6853B7" w:rsidRPr="00FF4BF5" w14:paraId="1C00F01B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7073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CFBC" w14:textId="00704617" w:rsidR="006853B7" w:rsidRPr="006853B7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A14" w14:textId="4829E8E9" w:rsidR="006853B7" w:rsidRP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F6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C5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88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312A94B0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8065C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8ED5C" w14:textId="4336C8ED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8AA" w14:textId="1A10504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E38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9B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372E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B1392CF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6E786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CD360" w14:textId="41A8509B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F97" w14:textId="3FADCB0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C43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29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B0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523A959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3C992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ACA0" w14:textId="50237115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DA6" w14:textId="59785BD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3A2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EE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690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146E231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4AD85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C0A0" w14:textId="36849832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6F6" w14:textId="453F0C6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73A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A06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F8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10BCFB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5C8EE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A318B" w14:textId="0FC05474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E98" w14:textId="4CBEDCEE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22AE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F4D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864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489D8106" w14:textId="77777777" w:rsidTr="006853B7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183675D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5447D1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42765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1AF1" w14:textId="083EBC90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1-6)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C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5D6B9F31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04C6F6BE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5FF485A1" w14:textId="77777777" w:rsidR="006853B7" w:rsidRPr="00FF4BF5" w:rsidRDefault="006853B7" w:rsidP="006853B7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6853B7" w:rsidRPr="00FF4BF5" w14:paraId="134792EC" w14:textId="77777777" w:rsidTr="006853B7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94" w14:textId="77777777" w:rsidR="006853B7" w:rsidRPr="00FF4BF5" w:rsidRDefault="006853B7" w:rsidP="006853B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E87C" w14:textId="77777777" w:rsidR="006853B7" w:rsidRPr="00FF4BF5" w:rsidRDefault="006853B7" w:rsidP="006853B7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3BDC3237" w14:textId="77777777" w:rsidR="006853B7" w:rsidRDefault="006853B7" w:rsidP="006853B7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14:paraId="099AC1FB" w14:textId="5DCDDBB0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7D1221" w14:paraId="2FEEF5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3BC0102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5025DDF9" w:rsidR="00FE51A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331DA008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6706C63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2231EE1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4236B" w:rsidRPr="007D1221" w14:paraId="35D9B852" w14:textId="77777777" w:rsidTr="00F4236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223F617A" w:rsidR="00F4236B" w:rsidRPr="007D1221" w:rsidRDefault="00F4236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- 102 szt.</w:t>
            </w:r>
          </w:p>
        </w:tc>
      </w:tr>
      <w:tr w:rsidR="00EC4788" w:rsidRPr="007D1221" w14:paraId="1B5B85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780C3B57" w:rsidR="00EC4788" w:rsidRPr="007D1221" w:rsidRDefault="00EC4788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7C3A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A2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C3A2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68229749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EC4788" w:rsidRPr="007D1221" w:rsidRDefault="00EC4788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7B4FC5CC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64CDBB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1212B3F9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09DAFFF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5D3F6C9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DCC15BB" w:rsidR="00EC4788" w:rsidRPr="007D1221" w:rsidRDefault="00514D7A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 xml:space="preserve"> pkt. Za najwyższy stopień IP, pozostałe 0 pkt.</w:t>
            </w:r>
          </w:p>
        </w:tc>
      </w:tr>
      <w:tr w:rsidR="00EC4788" w:rsidRPr="007D1221" w14:paraId="2450FF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68195FD6" w:rsidR="00EC4788" w:rsidRPr="007D1221" w:rsidRDefault="00EC4788" w:rsidP="00873066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307E71C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08F3C28" w:rsidR="00EC4788" w:rsidRPr="007D1221" w:rsidRDefault="00514D7A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0E87B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7DE0B63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A29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654FF9A7" w14:textId="1DB26C5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08CD219D" w:rsidR="00EC4788" w:rsidRPr="007D1221" w:rsidRDefault="00514D7A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68D59F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482EB636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4DE2911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4B94314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E9913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914653" w:rsidR="00EC4788" w:rsidRPr="007D1221" w:rsidRDefault="00EC4788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F43A18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509803BE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EC4788" w:rsidRPr="007D1221" w14:paraId="0C3AA80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1A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pompy. Zamawiający nie dopuszcza prezentacji stanu naładowania /rozładowania akumulatora w trybie serwisowym</w:t>
            </w:r>
          </w:p>
          <w:p w14:paraId="5B2A46BB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7FE8545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0EF96B3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119331B7" w:rsidR="00EC4788" w:rsidRPr="007D1221" w:rsidRDefault="00EC4788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E8BA5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64AD4FFB" w:rsidR="00EC4788" w:rsidRPr="007D1221" w:rsidRDefault="00EC4788" w:rsidP="00C9497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 w pompie, system mocowania na szynie medycznej oraz na masztach infuzyjnych bez dodatkowo montowanych uchwytów lub z dodatkowo montowanymi uchwytami.(dla </w:t>
            </w:r>
            <w:r w:rsidR="00C9497E" w:rsidRPr="007D1221">
              <w:rPr>
                <w:rFonts w:ascii="Century Gothic" w:hAnsi="Century Gothic"/>
                <w:sz w:val="20"/>
                <w:szCs w:val="20"/>
              </w:rPr>
              <w:t>4</w:t>
            </w:r>
            <w:r w:rsidRPr="007D1221">
              <w:rPr>
                <w:rFonts w:ascii="Century Gothic" w:hAnsi="Century Gothic"/>
                <w:sz w:val="20"/>
                <w:szCs w:val="20"/>
              </w:rPr>
              <w:t>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77507F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66445D1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0CA1A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643558BA" w:rsidR="00EC4788" w:rsidRPr="007D1221" w:rsidRDefault="00EC4788" w:rsidP="000B28E9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</w:t>
            </w:r>
            <w:r w:rsidR="000B28E9" w:rsidRPr="007D1221">
              <w:rPr>
                <w:rFonts w:ascii="Century Gothic" w:hAnsi="Century Gothic"/>
                <w:sz w:val="20"/>
                <w:szCs w:val="20"/>
              </w:rPr>
              <w:t>30</w:t>
            </w:r>
            <w:r w:rsidRPr="007D1221">
              <w:rPr>
                <w:rFonts w:ascii="Century Gothic" w:hAnsi="Century Gothic"/>
                <w:sz w:val="20"/>
                <w:szCs w:val="20"/>
              </w:rPr>
              <w:t>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6E6219E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4487BC2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4A7B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121A138" w:rsidR="00EC4788" w:rsidRPr="007D1221" w:rsidRDefault="00EC4788" w:rsidP="00EC478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05F79B7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0713C0C8" w:rsidR="00EC4788" w:rsidRPr="007D1221" w:rsidRDefault="00EC4788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A108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1BD77401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3389F87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4F0CFC1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A0AC38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402FCD8E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5C56FF67" w:rsidR="00EC4788" w:rsidRPr="007D1221" w:rsidRDefault="007D122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193A25CB" w:rsidR="00EC4788" w:rsidRPr="007D1221" w:rsidRDefault="00EC4788" w:rsidP="00514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0 pkt za manualne mocowanie w pompie;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za mechaniczne mocowanie strzykawki w pompie</w:t>
            </w:r>
          </w:p>
        </w:tc>
      </w:tr>
      <w:tr w:rsidR="00EC4788" w:rsidRPr="007D1221" w14:paraId="6D2D1C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2CE507C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6968771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67AEB6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6FFC8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349F2F3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59E26C6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5E6674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955E2B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427D20F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77AF0E78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11CB0D8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A8A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35D2B82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2F4EFDB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693848D5" w:rsidR="00EC4788" w:rsidRPr="007D1221" w:rsidRDefault="00514D7A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E7E74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0F6F64A" w:rsidR="00EC4788" w:rsidRPr="007D1221" w:rsidRDefault="00EC4788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3D53391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3CC12641" w:rsidR="00EC4788" w:rsidRPr="007D1221" w:rsidRDefault="00EC4788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EC4788" w:rsidRPr="007D1221" w14:paraId="12D7F6F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58E566BA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73A2C2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2B1E4607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3EFEE2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10982A51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1090E90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6A32AE2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EC4788" w:rsidRPr="007D1221" w14:paraId="3D1061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0E4CF334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391AC79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5368B4F1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EC4788" w:rsidRPr="007D1221" w14:paraId="158EC0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72F25265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554FEC8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6317F82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63F58C3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BCAED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5E11330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54E0A3C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48F9227A" w:rsidR="00EC4788" w:rsidRPr="007D1221" w:rsidRDefault="00EC4788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A4A1D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18AC79D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2248D73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21FC7B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EC4788" w:rsidRPr="007D1221" w14:paraId="11CDF4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A1D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; szybkość dozowania + objętość infuzji do podania;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objętość do podania + czas podaży</w:t>
            </w:r>
          </w:p>
          <w:p w14:paraId="3F8F51B5" w14:textId="4F4016B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68B4E8D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7F5633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80886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056A356E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, –  na kg masy ciała pacjenta lub nie, na czas (na </w:t>
            </w:r>
            <w:r w:rsidR="00714E31">
              <w:rPr>
                <w:rFonts w:ascii="Century Gothic" w:hAnsi="Century Gothic"/>
                <w:sz w:val="20"/>
                <w:szCs w:val="20"/>
              </w:rPr>
              <w:t xml:space="preserve">24godziny, godzinę oraz minutę)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714E3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z programowaniem parametrów infuzji w jednostkach: ml,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μg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mg, g,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U,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kU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mmol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uwzględnieniem wagi pacjenta lub nie na min,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oraz 24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29489E8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61F769D4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E7D6F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6BA3C55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04D6F7A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45E748A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8E2833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54DA6AE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A4524D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29A454E2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2C7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20591BB9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158955D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50AEAD1C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5833F81E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83D337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5CC274C8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2B070D5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2C2391C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F549F2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07ED023F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2A7BD1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3890A7F6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50B441F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5AFB230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po okluzji czyli zabezpieczanie przed podaniem niekontrolowanego bolusa po alarmie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6F7C39D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BC37C3F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C691F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65822486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do 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4CC005E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25C2413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pkt. Nie – 0 pkt.</w:t>
            </w:r>
          </w:p>
        </w:tc>
      </w:tr>
      <w:tr w:rsidR="00EC4788" w:rsidRPr="007D1221" w14:paraId="0B8A3D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370E5561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3BEE4953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669D8A4C" w:rsidR="00EC4788" w:rsidRPr="007D1221" w:rsidRDefault="005E6ED0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0D220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EC4788" w:rsidRPr="007D1221" w:rsidRDefault="00EC4788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2257B8ED" w:rsidR="00EC4788" w:rsidRPr="007D1221" w:rsidRDefault="00EC4788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1A5E1E3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3D541B4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6177C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787DF6F8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137879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0FC737BE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68B22AB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D3A9943" w14:textId="77777777" w:rsidTr="007D1221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161DC59D" w:rsidR="00EC4788" w:rsidRPr="007D1221" w:rsidRDefault="00EC4788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0F32D9A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2CD579D2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115304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39608901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5593887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630A4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4A4D6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6CD" w14:textId="618FD3DA" w:rsidR="007337C6" w:rsidRPr="007337C6" w:rsidRDefault="00EC4788" w:rsidP="007337C6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możliwość  zaprogramowania parametrów infuzji dla pacjenta </w:t>
            </w:r>
          </w:p>
          <w:p w14:paraId="6BE7311C" w14:textId="28604A52" w:rsidR="00EC4788" w:rsidRPr="007D1221" w:rsidRDefault="007337C6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 ciężarze w zakresie od 250 gramów do 350 kg</w:t>
            </w:r>
            <w:r w:rsidRPr="007337C6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6A84353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6CFAF69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9519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2D3F19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47E8717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3B56D2C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8587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0CE1EF1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529F3A4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1E6F2ED4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2EF27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AC0F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54A1988E" w14:textId="361085A1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17E6E4A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2D3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BAB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5CADCF1B" w14:textId="086C90E2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0C92AF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1FE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3F27E31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3EDC3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1E92158D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65517C4A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021A1A53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3E7083CC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7D7CF1F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68AF929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3D5A8A4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7C8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7FB00C1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1358B19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A241C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4CA1167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5AE89B3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2896823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F2BE50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310E428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0B1B515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320C7310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CDD0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22A6FB5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 optyczne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67C987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6D62B98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629E6C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7B04F9D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8F29B8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5E44863E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0CA11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05DEE553" w:rsidR="00EC4788" w:rsidRPr="007D1221" w:rsidRDefault="00EC4788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53104AB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3310073B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D5E79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2B8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715CCFAF" w14:textId="5E48B589" w:rsidR="00EC4788" w:rsidRPr="007D1221" w:rsidRDefault="00EC4788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50F64FF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1467206F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53540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7A32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5A200794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19CFA3C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4DCA585D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66ACD088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43E1D2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0EC8EF10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4D8803B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76045C1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A3A91F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204D2CC1" w:rsidR="00EC4788" w:rsidRPr="007D1221" w:rsidRDefault="00EC4788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4BBAB88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55454F9B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6EB1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5F0BDB3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64E62B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6D2BD26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2AE931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4533C5AF" w:rsidR="00EC4788" w:rsidRPr="007D1221" w:rsidRDefault="00EC4788" w:rsidP="003943D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6E33A5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4E65461C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75B06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E3F845A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05C544EB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7BF1A52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EC4788" w:rsidRPr="007D1221" w14:paraId="235137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005931A5" w:rsidR="00EC4788" w:rsidRPr="007D1221" w:rsidRDefault="00EC4788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Ustawianie poziomu ciśnienia okluzji –  min. 3 jednostki do wyboru –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kPa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, 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78D23911" w:rsidR="00EC4788" w:rsidRPr="007D1221" w:rsidRDefault="00EC4788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EC4788" w:rsidRPr="007D1221" w:rsidRDefault="00EC4788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EE0" w14:textId="6F52BAEE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7888632A" w14:textId="53E7063D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EC4788" w:rsidRPr="007D1221" w14:paraId="0107B6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60E73B35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21D753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25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6814CCF5" w14:textId="3214F9F0" w:rsidR="00EC4788" w:rsidRPr="007D1221" w:rsidRDefault="009C2FB1" w:rsidP="009C2FB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78C188B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25C259A8" w:rsidR="00EC4788" w:rsidRPr="007D1221" w:rsidRDefault="00EC4788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programowania czasu infuzji przynajmniej od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min. 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28C6BF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FB0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405E326E" w14:textId="772C12E2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5CB7456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C2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4A2" w14:textId="5C45645E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system dynamicznego ciągłego pomiaru ciśnienia (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np.DPS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45A" w14:textId="0FDE564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0F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68D" w14:textId="30327AC2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3CF34BFF" w14:textId="7930E8CB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4F87E8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B4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E06" w14:textId="607F108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6BC" w14:textId="05A93D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9D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4D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4B06661B" w14:textId="2413A2B0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EC4788" w:rsidRPr="007D1221" w14:paraId="0FE099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46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341" w14:textId="77777777" w:rsidR="00EC4788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pracy pompy w trybie płynnego, automatycznego przejęcia infuzji przez drugą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pompę, natychmiast po zakończeniu infuzji w pierwszej</w:t>
            </w:r>
            <w:r w:rsidR="00E970E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E268C5A" w14:textId="695E69FF" w:rsidR="00E970E6" w:rsidRPr="007D1221" w:rsidRDefault="00E970E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57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Uwaga - </w:t>
            </w:r>
            <w:r w:rsidRPr="007A577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Zamawiający uznaje za wystarczające spełnienie parametru płynnego przejęcia infuzji przez drugą pompę, pozostawioną w gotowości z włączoną funkcją stand-by bez limitu czasowego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FFD" w14:textId="5F9F9397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7D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256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2F634F29" w14:textId="36A2692E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EC4788" w:rsidRPr="007D1221" w14:paraId="4B9D0B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AE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27B" w14:textId="0FA9DEA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57B" w14:textId="02D0924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FA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6C" w14:textId="4D5541E2" w:rsidR="00EC4788" w:rsidRPr="007D1221" w:rsidRDefault="00EC4788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Najmniejsza –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pozostałe -0 pkt</w:t>
            </w:r>
          </w:p>
        </w:tc>
      </w:tr>
      <w:tr w:rsidR="00EC4788" w:rsidRPr="007D1221" w14:paraId="2D222370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352FA4C2" w:rsidR="00EC4788" w:rsidRPr="007D1221" w:rsidRDefault="00EC4788" w:rsidP="00DC5BB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(pomiar w linii) – 50 szt.</w:t>
            </w:r>
          </w:p>
        </w:tc>
      </w:tr>
      <w:tr w:rsidR="000257BC" w:rsidRPr="007D1221" w14:paraId="50F641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1DEA55FD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5904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0F7A4451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609B8E32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4FDBD0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BFE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9E6" w14:textId="4AAB0BE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23D" w14:textId="07EDE67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527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E95" w14:textId="1F3E330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5BF580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5F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EC" w14:textId="3038AA8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CB5" w14:textId="08F2B0BF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989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EB6" w14:textId="61734F9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380A6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BD2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ADF" w14:textId="1FC193F9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FED" w14:textId="605686C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271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D7E" w14:textId="681B4774" w:rsidR="000257BC" w:rsidRPr="007D1221" w:rsidRDefault="009C2FB1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108CAE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809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AFE" w14:textId="7843D4D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76D" w14:textId="5D4995C5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2AE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E22" w14:textId="77777777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57BC" w:rsidRPr="007D1221" w14:paraId="1E23A2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033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93E" w14:textId="6B039A07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83" w14:textId="0438FB3A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33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3AD" w14:textId="190A9D24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0257BC" w:rsidRPr="007D1221" w14:paraId="3507819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A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1D3" w14:textId="473B22F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33" w14:textId="42B9B3CD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90F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DF" w14:textId="6933974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837D0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48B0067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23F4C193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7FB2DCA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094C5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39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438" w14:textId="0BC89C2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31D" w14:textId="2A1AA28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98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211" w14:textId="5ADA47F8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21B01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BE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63" w14:textId="0307EC0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A05" w14:textId="61F5C65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46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5CB" w14:textId="2CC5F71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30A9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652CF20C" w:rsidR="00245592" w:rsidRPr="007D1221" w:rsidRDefault="00245592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084E959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49CDBCE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334C5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74D4340B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6CE06A2" w:rsidR="00245592" w:rsidRPr="007D1221" w:rsidRDefault="007D1221" w:rsidP="007D122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45592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245592" w:rsidRPr="007D1221" w:rsidRDefault="00245592" w:rsidP="00347B8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49991FE7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za manualne mocowanie w pompie; 2 pkt za mechaniczne mocowanie strzykawki w pompie</w:t>
            </w:r>
          </w:p>
        </w:tc>
      </w:tr>
      <w:tr w:rsidR="00245592" w:rsidRPr="007D1221" w14:paraId="14E10B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1269B97C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7CFD9858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27CA610E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A50DC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19FA1DF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2B5B87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7175E13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C8CBF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3DAAFC0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możliwości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433E1A0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0563A5DF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46FE6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5ADF2152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3D0E214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537491F1" w:rsidR="00245592" w:rsidRPr="007D1221" w:rsidRDefault="008031AF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0F5A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119BC14E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(cm2)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F537892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60454B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245592" w:rsidRPr="007D1221" w14:paraId="551D4F9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5D6CC036" w:rsidR="00245592" w:rsidRPr="007D1221" w:rsidRDefault="00245592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Rejestr 24 godzinny, umożliwiający przegląd 24 godzinnego rejestru objętości płynów podanych we wlewie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8C" w14:textId="3016C95C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75379DE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5B95E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71B235DB" w:rsidR="00245592" w:rsidRPr="007D1221" w:rsidRDefault="00245592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18E158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6627B034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245592" w:rsidRPr="007D1221" w14:paraId="75DADA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16A66959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1818BC84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4FE4A1A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245592" w:rsidRPr="007D1221" w14:paraId="2CAACD9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7E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  <w:p w14:paraId="268928C3" w14:textId="78D21CC0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5EA1815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74ECCBF0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4CAC4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3B589965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804DA17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414D81B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245592" w:rsidRPr="007D1221" w14:paraId="1344D3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D15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6872773" w14:textId="1E7DDE8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5DCF1AC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6D439C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F5D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2046DB27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, –  na kg masy ciała pacjenta lub nie, na czas (na </w:t>
            </w:r>
            <w:r w:rsidR="00714E31">
              <w:rPr>
                <w:rFonts w:ascii="Century Gothic" w:hAnsi="Century Gothic"/>
                <w:sz w:val="20"/>
                <w:szCs w:val="20"/>
              </w:rPr>
              <w:t xml:space="preserve">24godziny, godzinę oraz minutę)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714E3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z programowaniem parametrów infuzji w jednostkach: ml,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μg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mg, g,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U,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kU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mmol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uwzględnieniem wagi pacjenta lub nie na min,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oraz 24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4B0E75A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04C38765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8F2E64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5C2DE25D" w:rsidR="00245592" w:rsidRPr="007D1221" w:rsidRDefault="00245592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w jednostkach masy w stosunku do czasu infuzji oraz w jednostkach masy w stosunku od ciężaru ciała pacjenta i czasu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6751FE3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F92B4E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6377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4A323CAF" w:rsidR="00245592" w:rsidRPr="007D1221" w:rsidRDefault="00245592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044EE5B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61CF2C51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89124C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63E3F7E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3BAAB9B4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1FA305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9EAAB2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4C0C9647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19EE069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5B7EF4A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DDF88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5652D301" w:rsidR="00245592" w:rsidRPr="007D1221" w:rsidRDefault="00245592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do 5 ml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funkcja wypełnienia drenu z prędkością  1200ml/h  z zakresem objętości od 0,1 do 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2475735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0C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28B132C7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 xml:space="preserve">0,5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667D0E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17E70A5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1583D19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4A40E443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E8651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0753C3CB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338B004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27810589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18B701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1C2442BC" w:rsidR="00245592" w:rsidRPr="007D1221" w:rsidRDefault="00245592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objętości min.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od 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0,5 do 5 ml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 z funkcją wypełnienia drenu z prędkością  1200ml/h  z zakresem objętości od 0,1 do 5ml</w:t>
            </w:r>
            <w:r w:rsidRPr="007337C6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  <w:r w:rsidRPr="007337C6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  <w:r w:rsidRPr="007D122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3F2D8DF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51ABDDA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49621300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79E24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0168AE64" w:rsidR="00245592" w:rsidRPr="007337C6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Podział leków w bibliotece na profile (rodzaj pacjenta lub oddział/pododdział) z możliwością umieszczenia tego samego leku w różnych profilach – minimum </w:t>
            </w:r>
            <w:r w:rsidRPr="007337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20 profili</w:t>
            </w:r>
            <w:r w:rsidR="007337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7337C6">
              <w:rPr>
                <w:rFonts w:ascii="Century Gothic" w:hAnsi="Century Gothic"/>
                <w:color w:val="FF0000"/>
                <w:sz w:val="20"/>
                <w:szCs w:val="20"/>
              </w:rPr>
              <w:t>19 profili.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07F3A25A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28A819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A4022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53E5714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437671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7C7BB7D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54B10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63EC828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2FCB00B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ED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19E7C5E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245592" w:rsidRPr="007D1221" w14:paraId="1E8A019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2D" w14:textId="6BA0CD37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minimalnie 250 kg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98A" w14:textId="12EDB90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001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D47" w14:textId="44E1348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05D371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9F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4AA" w14:textId="0EA86B0C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z dużymi literami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ADB" w14:textId="6E1F5C9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3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797" w14:textId="442FCD4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największą ilość pozycji, pozostałe 0 pkt.</w:t>
            </w:r>
          </w:p>
        </w:tc>
      </w:tr>
      <w:tr w:rsidR="00245592" w:rsidRPr="007D1221" w14:paraId="56D325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79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97F" w14:textId="78E3982D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Bezpośredni pomiar ciśnienia w linii infuzyjnej (z użyciem lub bez użycia specjalnych drenów)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BDB" w14:textId="4E51DFB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54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BD" w14:textId="44757FA7" w:rsidR="00245592" w:rsidRPr="007D1221" w:rsidRDefault="00245592" w:rsidP="00BA5A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BA5A5D" w:rsidRPr="007D1221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25D578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96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EE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78457C30" w14:textId="4AB0A683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Ustawienie poziomu ciśnienia okluzji min. 9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poziomach.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55E" w14:textId="3D2F586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B14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C38383A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CFB" w14:textId="77777777" w:rsidR="00245592" w:rsidRPr="007D1221" w:rsidRDefault="00245592" w:rsidP="000257B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03D1E1F0" w14:textId="17F8056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592" w:rsidRPr="007D1221" w14:paraId="2DF4CB7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4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252" w14:textId="7F94C44B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Prezentacja trendów ciśnienia, wyświetlanych na ekranie pompy lub wskazanie aktualnego ciśnienia w linii w czasie rzeczywistym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8E6" w14:textId="093B6CA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C29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D5C" w14:textId="47C422C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7A107D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58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E09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5F3A7C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77AB2D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EE8DD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76C3C57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4F7C7DEA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75F75FA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2E1EA91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77368854" w14:textId="599AFE36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DA3" w14:textId="2E77E6E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E29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614814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425" w14:textId="7A833C1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E577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F9B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CE1" w14:textId="17A620D8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90C" w14:textId="5B46BF21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BE0" w14:textId="441F4BD3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40A" w14:textId="7FACBAA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6DEBF7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B2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1C8" w14:textId="2080E904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8FA" w14:textId="0C780437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19" w14:textId="7346699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FE23E0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6F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493" w14:textId="6F4D240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0A4" w14:textId="49AE1979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0C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09F" w14:textId="135FDE12" w:rsidR="00245592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E9E3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1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3BB" w14:textId="7D6D56C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A09" w14:textId="66A7B9F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AD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2F8" w14:textId="4B96C55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CB4FB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0D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6CB" w14:textId="721DC82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B50" w14:textId="7B93DAA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D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713" w14:textId="72372C5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AD096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1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266" w14:textId="49AC644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z możliwością regulacji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7DF" w14:textId="758F3EC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78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713" w14:textId="13680301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4FB84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FF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D43" w14:textId="1848055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Końca infuzji,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9F5" w14:textId="1E02D65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4F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2B1" w14:textId="6DE5B6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FBFA0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C5C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3D6" w14:textId="209FBF5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E58" w14:textId="2B7CF25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B8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5B2" w14:textId="73696C6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C8EF0D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62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E1B" w14:textId="2E70E79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Złego zamocowania strzykawki lub w przypadku napędu automatycznego – komunikat nieznana strzykawka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487" w14:textId="3C705D0C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8C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0B5" w14:textId="3DAE781E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B7A5B9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F6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02" w14:textId="6E0479AC" w:rsidR="00245592" w:rsidRPr="007D1221" w:rsidRDefault="00245592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 – na 30 minut przed jej wyczerpaniem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BC6" w14:textId="44AABBE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E19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F86" w14:textId="64F787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58EBA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2B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F" w14:textId="071EB94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87" w14:textId="40B5751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50F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112" w14:textId="0C59A69C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FEE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F3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B70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Sygnalizacja wahań ciśnienia w linii. Pozwalająca przewidzieć niebezpieczeństwo pojawienia się okluzji lub nieszczelności</w:t>
            </w:r>
          </w:p>
          <w:p w14:paraId="0D1A7D97" w14:textId="09C1C5D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F2" w14:textId="0F7B8D7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381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2AB" w14:textId="11EDF528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pkt; nie 0 pkt</w:t>
            </w:r>
          </w:p>
        </w:tc>
      </w:tr>
      <w:tr w:rsidR="006F649C" w:rsidRPr="007D1221" w14:paraId="67903A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7F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857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Bolus-min 2 rodzaje </w:t>
            </w:r>
          </w:p>
          <w:p w14:paraId="01640F3C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-Bezpośredni - szybkości podaży 50 – 1200 ml/h, </w:t>
            </w:r>
          </w:p>
          <w:p w14:paraId="76A92B2A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-Programowany - dawka lub objętość/czas: 0,1-99,9 jednostek / 0,1  - 1200 ml, automatyczne wyliczenie czasu </w:t>
            </w:r>
          </w:p>
          <w:p w14:paraId="03734430" w14:textId="52E9D73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manualne przesunięcie tłoka strzykawki z funkcją zliczania i prezentacji podanej objętości na ekranie urządzenia: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FA7" w14:textId="6FF1CF50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F0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8C3" w14:textId="01019881" w:rsidR="006F649C" w:rsidRPr="007D1221" w:rsidRDefault="006F649C" w:rsidP="006F649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672CF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4F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CE0" w14:textId="086510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łączenie i zasilania jednym przewodem pompy w moduły min po 2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BF9" w14:textId="28283CAC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6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5C5" w14:textId="653629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7DD66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31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8B" w14:textId="2E9D19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9AF" w14:textId="5BDC053A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F8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427" w14:textId="77777777" w:rsidR="006F649C" w:rsidRPr="007D1221" w:rsidRDefault="006F649C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</w:t>
            </w:r>
          </w:p>
          <w:p w14:paraId="42E0071E" w14:textId="702BFD1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103E3E" w:rsidRPr="007D1221" w14:paraId="3611F5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E47" w14:textId="77777777" w:rsidR="00103E3E" w:rsidRPr="007D1221" w:rsidRDefault="00103E3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356" w14:textId="62993BC9" w:rsidR="00103E3E" w:rsidRPr="007D1221" w:rsidRDefault="00103E3E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44" w14:textId="7EABEC64" w:rsidR="00103E3E" w:rsidRPr="007D1221" w:rsidRDefault="00103E3E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A45" w14:textId="77777777" w:rsidR="00103E3E" w:rsidRPr="007D1221" w:rsidRDefault="00103E3E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7C7" w14:textId="720D865E" w:rsidR="00103E3E" w:rsidRDefault="00103E3E" w:rsidP="00103E3E">
            <w:pPr>
              <w:snapToGrid w:val="0"/>
              <w:jc w:val="center"/>
              <w:rPr>
                <w:rFonts w:ascii="Century Gothic" w:hAnsi="Century Gothic" w:cstheme="minorBidi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Tak 0,5 pkt</w:t>
            </w:r>
          </w:p>
          <w:p w14:paraId="41D2263E" w14:textId="5EC97800" w:rsidR="00103E3E" w:rsidRPr="007D1221" w:rsidRDefault="00103E3E" w:rsidP="00103E3E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Nie 0 pkt</w:t>
            </w:r>
          </w:p>
        </w:tc>
      </w:tr>
      <w:bookmarkEnd w:id="0"/>
      <w:tr w:rsidR="006F649C" w:rsidRPr="007D1221" w14:paraId="36C652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7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DA" w14:textId="7A7D8AF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system dynamicznego ciągłego pomiaru ciśnienia (np. DPS –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88C" w14:textId="51A8C886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5A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484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78357B41" w14:textId="1EB07A2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6F649C" w:rsidRPr="007D1221" w14:paraId="792B89E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33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8FD" w14:textId="734BCB3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F81" w14:textId="3DC0DA85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72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7CB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315085D8" w14:textId="5913CAA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6F649C" w:rsidRPr="007D1221" w14:paraId="6BAA96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1E" w14:textId="77777777" w:rsidR="006F649C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  <w:r w:rsidR="00E970E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78DFE3A" w14:textId="5D0ACC82" w:rsidR="00E970E6" w:rsidRPr="007D1221" w:rsidRDefault="00E970E6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57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Uwaga - </w:t>
            </w:r>
            <w:r w:rsidRPr="007A577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Zamawiający uznaje za wystarczające spełnienie parametru płynnego przejęcia infuzji przez drugą pompę, pozostawioną w gotowości z włączoną funkcją stand-by bez limitu czasowego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BEC" w14:textId="53218D27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2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E82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123DE5EE" w14:textId="348B7D1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6F649C" w:rsidRPr="007D1221" w14:paraId="4E66FE0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D25" w14:textId="57D68DCD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F67" w14:textId="664A723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FE4" w14:textId="510C4474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FC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60C" w14:textId="5EAAF0E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3AF6655A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701" w14:textId="2F2445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pompy objętościowe – 68 szt.</w:t>
            </w:r>
          </w:p>
        </w:tc>
      </w:tr>
      <w:tr w:rsidR="006F649C" w:rsidRPr="007D1221" w14:paraId="4ADD60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A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F4C" w14:textId="6881CE0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5904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CBD" w14:textId="2401D87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4FF" w14:textId="75DB467E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3B6D4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4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C8" w14:textId="782C3F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3FF" w14:textId="255E86F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5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C07" w14:textId="20D3EF5B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32F822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F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1B6" w14:textId="094DD8D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024" w14:textId="0A847D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A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E1D" w14:textId="7D9248A0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689B1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4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6AC" w14:textId="17D84FA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ACF" w14:textId="607519B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51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2DE" w14:textId="0767EC48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5D5CA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1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3A6" w14:textId="38E02A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EE7" w14:textId="0ABCC84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5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BE5" w14:textId="075CC7B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5B86B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6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490" w14:textId="0D6611C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B2F" w14:textId="1FC5649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FD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0AA" w14:textId="7777777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9EB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5D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6D6" w14:textId="72B02E5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8A5" w14:textId="6BEEE91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8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93" w14:textId="4771129D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035AA9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A9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EB1" w14:textId="57E3E33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7FA" w14:textId="5C91323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1E" w14:textId="494125E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6F649C" w:rsidRPr="007D1221" w14:paraId="4851B3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E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8EC" w14:textId="6357DD4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62B" w14:textId="3CD15FF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4AC" w14:textId="475A3DEC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C203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93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0B" w14:textId="6C0668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BA0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F59ED46" w14:textId="08A4154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8F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E24" w14:textId="6FF928C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711E3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4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75D" w14:textId="156AEBE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3EA" w14:textId="366BD9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82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D12" w14:textId="2CC46608" w:rsidR="006F649C" w:rsidRPr="007D1221" w:rsidRDefault="006F649C" w:rsidP="00043CE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ADF61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D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6A3" w14:textId="6EA47F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181" w14:textId="37B6F6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4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D17" w14:textId="298474C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7AFDCC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1D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ED" w14:textId="0121B68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1CC" w14:textId="0564C3B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CF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8A4" w14:textId="05B53FC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EDB21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00F" w14:textId="56B03D95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 (40%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624" w14:textId="2A1B9E1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2F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92" w14:textId="008D79B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315AA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30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B90" w14:textId="267B7FA6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77E" w14:textId="787DAE0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8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12B" w14:textId="0889F5F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300B2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B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64E" w14:textId="2FAD0F9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AFE" w14:textId="1D3CFDE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60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537" w14:textId="47E5A17F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4D40A4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C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1EF" w14:textId="4F71546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0A8" w14:textId="49C020B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6E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3B" w14:textId="6AB45E94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1C7B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F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A5E" w14:textId="665C838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6EE" w14:textId="3EC2CF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00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24D" w14:textId="52A9A0A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A6D01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69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A11" w14:textId="508498E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2E1" w14:textId="3C0E77A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05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62A" w14:textId="6CE5489A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D828BE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0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309" w14:textId="030C85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EF1" w14:textId="1272879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1F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656" w14:textId="4EC8519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6F649C" w:rsidRPr="007D1221" w14:paraId="40E4A9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7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E8A" w14:textId="75F0203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9E4" w14:textId="1810EDE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7A9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426336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EFE" w14:textId="54F26FA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6F649C" w:rsidRPr="007D1221" w14:paraId="621591C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9B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E85" w14:textId="73B37EF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możliwą liczbę znaków z dużymi literami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803" w14:textId="481B97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0C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73F" w14:textId="423E947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FEBFF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91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B5" w14:textId="6599E43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D7D" w14:textId="5BD5CE2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A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02A" w14:textId="3453824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BDD8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B1D" w14:textId="368B69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  <w:r w:rsidR="00F0172E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F0172E" w:rsidRPr="0081747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funkcją programowania objętości do podania od 1 –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B4D" w14:textId="1B365B4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4C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F6A" w14:textId="0F57D8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AB80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3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883" w14:textId="382821C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00F" w14:textId="76A4BA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A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7D9" w14:textId="2899F0C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8A980F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E00" w14:textId="34B63CF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516" w14:textId="4E4E68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B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C08" w14:textId="12107518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7D1221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certyfikat świadczący o braku zjawiska hemolizy , w trakcie przetaczania krwi NIE – 0 pkt</w:t>
            </w:r>
          </w:p>
        </w:tc>
      </w:tr>
      <w:tr w:rsidR="006F649C" w:rsidRPr="007D1221" w14:paraId="070731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20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E80" w14:textId="6496A99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F0E" w14:textId="02F4D0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B34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A09DF81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9742BA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87C" w14:textId="57D0188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4EAC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EA3" w14:textId="654995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F3C" w14:textId="52F98B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73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261" w14:textId="4A63971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C766A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44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E47" w14:textId="69A946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103" w14:textId="1DF5CB8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40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6E5" w14:textId="798D765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52A07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2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421" w14:textId="4302F82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78D" w14:textId="63F78B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F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5F0" w14:textId="2AB9F1F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36E8C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F4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9E7" w14:textId="12E893D7" w:rsidR="006F649C" w:rsidRPr="007D1221" w:rsidRDefault="006F649C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B99" w14:textId="0058E9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D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3B" w14:textId="6E1598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047F6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F9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308" w14:textId="4D8A4CE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3D1" w14:textId="4DB580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ACE" w14:textId="47060F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EC94A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7E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BE0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5AB1D3FE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CCF83F1" w14:textId="731EAC6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D6C" w14:textId="7AC8282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C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D7F" w14:textId="6BB875D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88818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F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8D3" w14:textId="1E8DC3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BEB" w14:textId="3F808CA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B5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A8D" w14:textId="41A0048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692F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D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BD9" w14:textId="32DBB66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BD6" w14:textId="31F10F5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F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2F1" w14:textId="07E758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A7E8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24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982" w14:textId="513527F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948" w14:textId="7F4A520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C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9B7" w14:textId="613A55B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1AECC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AE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7B3" w14:textId="15F873D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14E" w14:textId="7781488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1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E68" w14:textId="35C7AD0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035F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D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D1" w14:textId="4845742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043" w14:textId="2B85E6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A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1C6" w14:textId="4AD9E09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50934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09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90" w14:textId="2389FCF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73D" w14:textId="7FB9553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B7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9A1" w14:textId="0407B4A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4EB0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8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051" w14:textId="36AABDB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DD" w14:textId="4F3DEFA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C65" w14:textId="161F940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6C6" w14:textId="547F0A3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49F6E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72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80B" w14:textId="28B7BD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Podział leków w bibliotece na profile (rodzaj pacjenta lub oddział/pododdział) z możliwością umieszczenia tego samego leku w różnych profilach – preferowana największa ilość dostępnych profili,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ale nie mniej niż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342" w14:textId="2BFBB7F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F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DA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2 pkt</w:t>
            </w:r>
          </w:p>
          <w:p w14:paraId="5D1ED7A6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1CDA85C1" w14:textId="0343EF1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0 pkt za ilość &lt;= 10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profili</w:t>
            </w:r>
          </w:p>
        </w:tc>
      </w:tr>
      <w:tr w:rsidR="006F649C" w:rsidRPr="007D1221" w14:paraId="11C843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7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D3F" w14:textId="603751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795" w14:textId="4539561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8F1" w14:textId="43A8CA7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D2EE0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0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268" w14:textId="5916F4C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E57" w14:textId="107CDE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24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CD4" w14:textId="2169CC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6F649C" w:rsidRPr="007D1221" w14:paraId="2C7D213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2C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850" w14:textId="72D912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280" w14:textId="0C98DB0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69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6C2" w14:textId="5F172B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CF6785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3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169" w14:textId="16F281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9D7" w14:textId="70600C6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7C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62" w14:textId="2FC8CEF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361A6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9F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EC4" w14:textId="406CEAD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tryb KVO (utrzymanie drożności wlewu/naczynia – zapobieganie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obturacji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regulacją prędkości podaży przez Użytkownika w zakresie nie mniejszym niż 0,1-20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trybem KVO (utrzymanie drożności wlewu/naczynia – zapobieganie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obturacji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) z regulacją prędkości podaży przez Użytkownika w zakresie  od 1 -20 ml/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1F6" w14:textId="01D26C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59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D52" w14:textId="00A486D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B6C08D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C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1A1" w14:textId="42D560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DFE" w14:textId="0ED514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07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168" w14:textId="1F93208E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C84E14" w14:textId="77777777" w:rsidTr="007D1221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0A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97F" w14:textId="6A54979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26" w14:textId="4A494C6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F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FF0" w14:textId="01E1725B" w:rsidR="006F649C" w:rsidRPr="007D1221" w:rsidRDefault="006F649C" w:rsidP="003E5F5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40F42DB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F5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017" w14:textId="7972599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5BF" w14:textId="32E3A3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F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D9" w14:textId="38F98F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06AA74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59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225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0B3D37D0" w14:textId="67DF72C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ciśnieniem okluzji od 50-750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, pozostałe parametry bez zmian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0BF" w14:textId="1C68DB2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4DB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095F135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2E9" w14:textId="2B73016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1F75D649" w14:textId="20AFD60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6BFC7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51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FDD" w14:textId="7154D83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funkcja wypełnienia drenu z prędkością maksymalną dla. i objętości wypełnienia drenu w zakresie  od   0, 1 -30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013" w14:textId="767DF2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 liczbę progów konfiguracji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3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5C8" w14:textId="58BCD27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D43D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28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9F8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449C77A9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A75CB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9BEB6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14A1FCD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56CE58C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5DAEFCDB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1D2744F6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068D5E5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ikona stanu naładowania baterii</w:t>
            </w:r>
          </w:p>
          <w:p w14:paraId="4557EDC2" w14:textId="786838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B4" w14:textId="178956B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8D6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312B27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5DA" w14:textId="7650DF0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CAA6D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CE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6C5" w14:textId="659A97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4A3" w14:textId="76A1C6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85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A3" w14:textId="3737FC5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6DC4B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4F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348" w14:textId="79D8C6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749" w14:textId="0C4463D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51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29" w14:textId="36B5DC5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06459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6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3BC" w14:textId="79D284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7B" w14:textId="1C2FBB8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C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DA3" w14:textId="6E3A8AE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9161D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F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F3D" w14:textId="56EF9DB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CD" w14:textId="4182D24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79F" w14:textId="52CA6C6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36CEA1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9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380" w14:textId="3AAD672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EC5" w14:textId="295A7AA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3A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8A9" w14:textId="0F1F9F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CFE4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3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347" w14:textId="4B3C746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78E" w14:textId="6949753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EB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C7E" w14:textId="4223BAB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298F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9A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92B" w14:textId="6FBEED9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056" w14:textId="0AADEE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D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7BB" w14:textId="4DAC683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7B8A8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7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BAA" w14:textId="6A267EC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DD6" w14:textId="61DAD4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5E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77A" w14:textId="2314AA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11312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E2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3FC" w14:textId="6AD7F41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343" w14:textId="79BD104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49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98A" w14:textId="6526EE9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3C54F9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8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357" w14:textId="219B7BC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FE0" w14:textId="64E978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4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71C" w14:textId="6BB0AD3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1CCC2E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F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1AD" w14:textId="73F142C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9C2" w14:textId="099B066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E2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335" w14:textId="1B50CBD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70B4541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4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5E" w14:textId="05A818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0F2" w14:textId="1CC283D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1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BBC" w14:textId="6D494FF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0B413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D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E2C" w14:textId="76AC6852" w:rsidR="006F649C" w:rsidRPr="007D1221" w:rsidRDefault="006F649C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Alarmem  powietrza w linii – dla skumulowanej objętości pęcherzyków powietrza  w zakresie od 0,01-2 ml</w:t>
            </w:r>
            <w:r w:rsidR="00141D1C" w:rsidRPr="00141D1C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56C" w14:textId="3A41DB3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C0B" w14:textId="0B84CC2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CBD49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B2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A56" w14:textId="0A51D90D" w:rsidR="006F649C" w:rsidRPr="007D1221" w:rsidRDefault="006F649C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6E9" w14:textId="11DEF3B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14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E78" w14:textId="3138178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923DE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96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B10" w14:textId="4FEBAB4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551" w14:textId="1F160C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2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943" w14:textId="2BE20DB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17B0A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5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C48" w14:textId="1A34B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460" w14:textId="72DC81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82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15A" w14:textId="1050C8B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28FD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B1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886" w14:textId="062FDB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25C" w14:textId="7503EBD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0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7C9" w14:textId="327AFE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9FFB66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FE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C80" w14:textId="337ACB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90D" w14:textId="08DEE80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FF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E8E" w14:textId="6A7893F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6F649C" w:rsidRPr="007D1221" w14:paraId="1A81AB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A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547" w14:textId="2ED207E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Ujednolicony panel sterowania w pompach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AB4" w14:textId="0270DC9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7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678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4F76C573" w14:textId="3050631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528BF1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50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A26" w14:textId="16F54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55" w14:textId="3ECB65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D2D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7230BB3C" w14:textId="54E5D5E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3826F93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3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F67" w14:textId="104C3F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240" w14:textId="5820CB5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74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DF3" w14:textId="7D2667B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5807CF4B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1A9" w14:textId="2572842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4 pompy – 36 szt.</w:t>
            </w:r>
          </w:p>
        </w:tc>
      </w:tr>
      <w:tr w:rsidR="006F649C" w:rsidRPr="007D1221" w14:paraId="4859FC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6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4C9" w14:textId="2131832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min 4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57A" w14:textId="0380F7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DF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3BA" w14:textId="05AEAF9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BBF3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CF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920" w14:textId="1992F7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DF0" w14:textId="363F9C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A46" w14:textId="4170C35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B6F78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5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5F6" w14:textId="1E02B54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9D9" w14:textId="68F1220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0D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879" w14:textId="05B28F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objętościowych, 0 – pkt brak elastyczności</w:t>
            </w:r>
          </w:p>
        </w:tc>
      </w:tr>
      <w:tr w:rsidR="006F649C" w:rsidRPr="007D1221" w14:paraId="6A08C9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C3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A" w14:textId="2E4851D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F6" w14:textId="2778574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0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843" w14:textId="4EBA400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67F3B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F8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AFD" w14:textId="5A3612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0CE" w14:textId="67790B1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0F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3D7" w14:textId="29AA461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7397D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14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97" w14:textId="044EF1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4D8" w14:textId="6394FC2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33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879" w14:textId="659AF0E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2A339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9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E00" w14:textId="0419EF9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829" w14:textId="720879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E6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18D" w14:textId="4A2425D8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779F15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A4" w14:textId="67CCB9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7E4" w14:textId="33F4F1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74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347" w14:textId="56DF274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4C6DF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FE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225" w14:textId="49F2EDF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E02" w14:textId="079F08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8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CF4" w14:textId="7B252A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77D55D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6A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93F" w14:textId="5BECE25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wskazujący stan pompy zamocowanej do stacji: </w:t>
            </w:r>
            <w:r w:rsidRPr="00B9091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484" w14:textId="29B3595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4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03B" w14:textId="6077AB4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493AD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25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8D4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0DD68A3F" w14:textId="4AD222C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C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C8F271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1509961F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823D4B" w14:textId="7777777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F1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832" w14:textId="2BD0D82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1775FD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2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BEB" w14:textId="060196E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318" w14:textId="0606047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8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1B8" w14:textId="2FE7059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CD668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8E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129" w14:textId="4CCDD44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możliwość jednoczasowego wyświetlania na jednym monitorze wszystkich stanowisk infuzji, bez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0CC" w14:textId="0F54CB7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D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B73" w14:textId="430F0FE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019A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2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2B9" w14:textId="33E26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E7B" w14:textId="0EF7B6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BC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3E7" w14:textId="502E27ED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7F89FF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D7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96C" w14:textId="15BE966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0F7" w14:textId="4B9D999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E6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E9D" w14:textId="7819B5A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09532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BB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E81" w14:textId="0D59CCC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677" w14:textId="491219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06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A4A" w14:textId="5658065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62DDE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9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49C" w14:textId="09F883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F07" w14:textId="1DD90F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13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D39" w14:textId="2B2AF6F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B12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A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29A" w14:textId="2A5177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263" w14:textId="125FDA6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D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5E0" w14:textId="02499B2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93554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83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82F" w14:textId="5CD1C77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A5D" w14:textId="76DDDEB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52" w14:textId="38B63C6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57BA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2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31D" w14:textId="4238AD3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601" w14:textId="1359D0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69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CDB" w14:textId="779BD1F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BB447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C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D0E" w14:textId="2FD2911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FE1" w14:textId="77777777" w:rsidR="006F649C" w:rsidRDefault="006F649C" w:rsidP="006949F5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5DC7D85B" w14:textId="77777777" w:rsidR="00141D1C" w:rsidRDefault="00141D1C" w:rsidP="006949F5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6078DDF" w14:textId="56C4114B" w:rsidR="00141D1C" w:rsidRPr="00141D1C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168" w14:textId="77777777" w:rsidR="006F649C" w:rsidRPr="00141D1C" w:rsidRDefault="006F649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C36" w14:textId="19566806" w:rsidR="006F649C" w:rsidRPr="00141D1C" w:rsidRDefault="006F649C" w:rsidP="002F03D3">
            <w:pPr>
              <w:pBdr>
                <w:bottom w:val="single" w:sz="6" w:space="1" w:color="auto"/>
              </w:pBd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2E170F1" w14:textId="77777777" w:rsidR="00141D1C" w:rsidRPr="00141D1C" w:rsidRDefault="00141D1C" w:rsidP="002F03D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E09241D" w14:textId="500DD480" w:rsidR="00141D1C" w:rsidRPr="00141D1C" w:rsidRDefault="00141D1C" w:rsidP="002F03D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6F649C" w:rsidRPr="007D1221" w14:paraId="275402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AE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B74" w14:textId="603EF4E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211" w14:textId="6A4729D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0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1F7" w14:textId="471E40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B7529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5A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402" w14:textId="6EADBA0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B82" w14:textId="19C6C15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F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262" w14:textId="78F4DB6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237E7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AD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0DB" w14:textId="64912D3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33C" w14:textId="307FB4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7D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7E1" w14:textId="2E4BBE5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E0F74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E6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27F" w14:textId="2AD0C5F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1D3" w14:textId="2647C32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D6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9A3" w14:textId="2A16F6B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4969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B8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575" w14:textId="4E03261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249" w14:textId="69D8295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EB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606" w14:textId="24B8217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694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C8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721" w14:textId="46E99B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B35" w14:textId="0B00E2E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F96" w14:textId="3C0CEB9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7EB71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3A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9E4" w14:textId="56B5EFF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E4F" w14:textId="1C0D0DE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7AB" w14:textId="4407C2A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5E3D6E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2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637" w14:textId="78C36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134" w14:textId="7AD2AF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0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774" w14:textId="7F950D9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58E2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21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F73" w14:textId="77777777" w:rsidR="0059043C" w:rsidRDefault="006F649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59043C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56C9A1EE" w14:textId="4DE8D71C" w:rsidR="006F649C" w:rsidRDefault="0059043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spełniające normę EN 60601-1 Klasa I, typ CF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62E92FAC" w14:textId="73D5E1EF" w:rsidR="0059043C" w:rsidRPr="007D1221" w:rsidRDefault="0059043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019" w14:textId="3B2503C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72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60F" w14:textId="160F63B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A9BF1D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16D" w14:textId="741111E8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372" w14:textId="6770CBE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5E1" w14:textId="6D4A484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D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174" w14:textId="55C2FDC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6F649C" w:rsidRPr="007D1221" w14:paraId="23BD9A1E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CC" w14:textId="623066FB" w:rsidR="006F649C" w:rsidRPr="007D1221" w:rsidRDefault="006F649C" w:rsidP="00B97DC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6 pomp – 16 szt.</w:t>
            </w:r>
          </w:p>
        </w:tc>
      </w:tr>
      <w:tr w:rsidR="006F649C" w:rsidRPr="007D1221" w14:paraId="51029E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9BB" w14:textId="0F632489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3B0" w14:textId="74E2B0B4" w:rsidR="006F649C" w:rsidRPr="007D1221" w:rsidRDefault="006F649C" w:rsidP="00F9038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6 - 8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F17" w14:textId="37A1D98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B4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53E" w14:textId="572419A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17DD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F6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7BC" w14:textId="1EF8887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A89" w14:textId="3F98EA1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18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15E" w14:textId="6858730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15A7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0E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2CD" w14:textId="2441C01E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778" w14:textId="0973F9F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05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894" w14:textId="4148717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objętościowych, 0 – pkt brak elastyczności</w:t>
            </w:r>
          </w:p>
        </w:tc>
      </w:tr>
      <w:tr w:rsidR="006F649C" w:rsidRPr="007D1221" w14:paraId="6FB5F13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78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E7F" w14:textId="13368135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98D" w14:textId="2D079BF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7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28E" w14:textId="17F6C75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AD2E6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15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716" w14:textId="714A3D6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778" w14:textId="4823833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D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0C7" w14:textId="156DE88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680171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D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558" w14:textId="347DDC6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76F" w14:textId="5B7C599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77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EA3" w14:textId="4C84F1D5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51F4EB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B9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4AE" w14:textId="233E5046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339" w14:textId="289A43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DA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7EA" w14:textId="4117B1B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21B75A8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5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06D" w14:textId="4508716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38D" w14:textId="6FF416D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F0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B1C" w14:textId="021C6749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5C928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98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991" w14:textId="16B30BB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46A3" w14:textId="6DD4A40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F3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D11" w14:textId="11A479E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1B8145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A5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30A" w14:textId="6DE56DF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wskazujący stan pompy zamocowanej do stacji: </w:t>
            </w:r>
            <w:r w:rsidRPr="00B9091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C03" w14:textId="15B81E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F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0B" w14:textId="5366C97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2A811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E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EA3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262D1EEC" w14:textId="3AB19CF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 przypadku rozbudowy system musi posiadać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B1C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AE49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4E4CC617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7F7E3" w14:textId="53C786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32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D4A" w14:textId="7258373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48B16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4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98" w14:textId="3D4A670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297" w14:textId="6A5E9C8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9C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252" w14:textId="4AA6E67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247AA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B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D66" w14:textId="7FE448C1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7C5" w14:textId="73C8190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1C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01" w14:textId="5E7550F3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60DD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7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E41" w14:textId="55AF5CA8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117" w14:textId="438285D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2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0FE" w14:textId="0154E5F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0851DF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1A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7D3" w14:textId="3107074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564" w14:textId="75AFF5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46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BDB" w14:textId="7A60B39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73D3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8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FB6" w14:textId="6AD76C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966" w14:textId="657C45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2D5" w14:textId="6B7C7C4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E09F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7C6" w14:textId="21B7DA8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F75" w14:textId="25472B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E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B20" w14:textId="36668C9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7C10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6D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80D" w14:textId="172C51E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20E" w14:textId="1A4EC49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9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6F2" w14:textId="5AD98FA1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66B5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C1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06E" w14:textId="6767F01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43C" w14:textId="1972DC6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51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D0" w14:textId="667E35C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601C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0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9B5" w14:textId="12E215B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11" w14:textId="0668FCE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A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CED" w14:textId="04BC075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47E34D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02B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2D9" w14:textId="3C713B2A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CAF" w14:textId="77777777" w:rsidR="00141D1C" w:rsidRDefault="00141D1C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02C67AEA" w14:textId="77777777" w:rsidR="00141D1C" w:rsidRDefault="00141D1C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C2BFE69" w14:textId="136627DF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919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DE0" w14:textId="77777777" w:rsidR="00141D1C" w:rsidRPr="00141D1C" w:rsidRDefault="00141D1C" w:rsidP="003F3593">
            <w:pPr>
              <w:pBdr>
                <w:bottom w:val="single" w:sz="6" w:space="1" w:color="auto"/>
              </w:pBd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18BB35C" w14:textId="77777777" w:rsidR="00141D1C" w:rsidRPr="00141D1C" w:rsidRDefault="00141D1C" w:rsidP="003F359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FBA4484" w14:textId="776CB7F8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141D1C" w:rsidRPr="007D1221" w14:paraId="62DAEA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76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838" w14:textId="7527A44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D58" w14:textId="0CD63B85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A02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BAE" w14:textId="11B61D3C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08DE518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E88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B8F" w14:textId="128C37F4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09C" w14:textId="284B451D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B56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3D6" w14:textId="6AA72939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68208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A63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9B4" w14:textId="29E558A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441" w14:textId="5E87F76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0BE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54E" w14:textId="212B35B6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2C2E52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7DE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6A2" w14:textId="11B8544C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FC7" w14:textId="67869E8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090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1CA" w14:textId="327CA6B7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09867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32C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495" w14:textId="7314961D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CDF" w14:textId="77CFDC5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18F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007" w14:textId="7C4578A1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E374D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916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6BF" w14:textId="1031B625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A7C" w14:textId="5E257471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3BB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A00" w14:textId="5DF10C6F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1D85D0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DF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332" w14:textId="0376E20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F86" w14:textId="3BDAB8F2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2F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613" w14:textId="415FE16B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141D1C" w:rsidRPr="007D1221" w14:paraId="65342D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EAB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6D1" w14:textId="16579F31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1D2" w14:textId="3A82D2B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C5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2AB" w14:textId="47D9E3D6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1AE611A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C4A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150" w14:textId="77777777" w:rsidR="0059043C" w:rsidRDefault="00141D1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C30A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59043C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68544710" w14:textId="77777777" w:rsidR="00141D1C" w:rsidRDefault="0059043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spełniające normę EN 60601-1 Klasa I, typ CF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0FFEF9EA" w14:textId="10A63ABE" w:rsidR="0059043C" w:rsidRPr="007D1221" w:rsidRDefault="0059043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spełniające normy EN 60601-1, typ CF w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01E" w14:textId="46FE36F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E3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6" w14:textId="218EEA70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354CB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C70" w14:textId="043720C2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079" w14:textId="02C47C38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F59" w14:textId="46DE264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107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195" w14:textId="536FDCB2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141D1C" w:rsidRPr="007D1221" w14:paraId="53A8E237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4B8" w14:textId="17E1D9BB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na stację – 52 szt.</w:t>
            </w:r>
          </w:p>
        </w:tc>
      </w:tr>
      <w:tr w:rsidR="00141D1C" w:rsidRPr="007D1221" w14:paraId="60C03D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CF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3B2" w14:textId="3A816AE2" w:rsidR="00141D1C" w:rsidRPr="007D1221" w:rsidRDefault="00141D1C" w:rsidP="006F14B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14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lub: </w:t>
            </w:r>
            <w:r w:rsidRPr="006F14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z profilu aluminiowego lakierowanego proszkowo (stalowa podstawa posiadająca osłonę z tworzywa z ABS, która zabezpiecza przed uszkodzeniem)</w:t>
            </w:r>
            <w:r w:rsid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stojak wykonany ze stali nierdzewnej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678" w14:textId="0995A29A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2EA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320" w14:textId="4C8B9FD9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425AF0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CC4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72C" w14:textId="238020A0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95E" w14:textId="057056F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B0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DF6" w14:textId="41C52E74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08409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D70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BE8" w14:textId="4493E11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B12" w14:textId="783038F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53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9B7" w14:textId="6D05C88C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740F40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CCA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839" w14:textId="11EB8FE2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08D" w14:textId="14FB8FA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600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9B" w14:textId="11C3604D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754777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085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A3" w14:textId="0F5220E6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B28" w14:textId="5CC4D080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35B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492" w14:textId="057F9A24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0FE9497F" w:rsidR="00873066" w:rsidRPr="00FF4BF5" w:rsidRDefault="004C530A" w:rsidP="004C530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6F4324B5" w14:textId="7183F40E" w:rsidR="00E65C60" w:rsidRPr="00FF4BF5" w:rsidRDefault="007D1221" w:rsidP="00247C7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  <w:r>
        <w:rPr>
          <w:rFonts w:ascii="Century Gothic" w:hAnsi="Century Gothic"/>
          <w:b/>
          <w:sz w:val="20"/>
          <w:szCs w:val="20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7D1221" w14:paraId="0F9EF7B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81060CA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B6E46E1" w:rsidR="00E65C6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331893F4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161F033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325B868B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7D1221" w14:paraId="7DC2BF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7D1221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7D1221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7D1221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8D6FBB" w:rsidRPr="007D1221" w14:paraId="6F3FBB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7C454EFF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</w:t>
            </w:r>
            <w:r w:rsidRPr="007D1221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Wartości ułamkowe będą przy ocenie zaokrąglane w dół – do pełnych miesięcy. Zamawiający zastrzega, że okres rękojmi musi być równy okresowi gwarancji. </w:t>
            </w:r>
            <w:r w:rsidRPr="007D1221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1CE3B924" w:rsidR="008D6FBB" w:rsidRPr="007D1221" w:rsidRDefault="008D6FBB" w:rsidP="001F64C0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2AD6" w14:textId="77777777" w:rsidR="008D6FBB" w:rsidRPr="007D1221" w:rsidRDefault="008D6FBB" w:rsidP="007D1221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3846FD1A" w:rsidR="008D6FBB" w:rsidRPr="007D1221" w:rsidRDefault="008D6FBB" w:rsidP="007D122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Pozostałe proporcjonalnie mniej </w:t>
            </w: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względem najdłuższego okresu</w:t>
            </w:r>
          </w:p>
        </w:tc>
      </w:tr>
      <w:tr w:rsidR="008D6FBB" w:rsidRPr="007D1221" w14:paraId="6CC5E34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8D6FBB" w:rsidRPr="007D1221" w:rsidRDefault="008D6FBB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7234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D5AFB0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D6FBB" w:rsidRPr="007D1221" w14:paraId="754ED9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47CFAAA2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7D1221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7D1221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  <w:r w:rsidR="001410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zdalna diagnostyka diagnozowanie pomp z programu zainstalowanego na centralnym komputerze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2330991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4BB972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3E4CAEA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FE54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8ABDBD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36C47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7D1221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7D1221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25C08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F5A1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F5416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0E8913C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751EFB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A812D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E5F2D31" w14:textId="77777777" w:rsidTr="007D1221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2789225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8D6FBB" w:rsidRPr="007D1221" w:rsidRDefault="008D6FBB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7D1221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098F43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49EC9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08C33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E0D9A5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8E56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8D6FBB" w:rsidRPr="007D1221" w:rsidRDefault="008D6FBB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mycia i dezynfekcji poszczególnych elementów aparatów w oparciu o przedstawione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przez wykonawcę zalecane preparaty myjące i dezynfekujące.</w:t>
            </w:r>
          </w:p>
          <w:p w14:paraId="38AAE4F8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291284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6AA8" w14:textId="77777777" w:rsidR="00C45D34" w:rsidRDefault="00C45D34" w:rsidP="0097030B">
      <w:r>
        <w:separator/>
      </w:r>
    </w:p>
  </w:endnote>
  <w:endnote w:type="continuationSeparator" w:id="0">
    <w:p w14:paraId="2088EB27" w14:textId="77777777" w:rsidR="00C45D34" w:rsidRDefault="00C45D34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6853B7" w:rsidRDefault="0068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E3E">
          <w:rPr>
            <w:noProof/>
          </w:rPr>
          <w:t>19</w:t>
        </w:r>
        <w:r>
          <w:fldChar w:fldCharType="end"/>
        </w:r>
      </w:p>
    </w:sdtContent>
  </w:sdt>
  <w:p w14:paraId="2119F810" w14:textId="77777777" w:rsidR="006853B7" w:rsidRDefault="00685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3ECD" w14:textId="77777777" w:rsidR="00C45D34" w:rsidRDefault="00C45D34" w:rsidP="0097030B">
      <w:r>
        <w:separator/>
      </w:r>
    </w:p>
  </w:footnote>
  <w:footnote w:type="continuationSeparator" w:id="0">
    <w:p w14:paraId="5D263906" w14:textId="77777777" w:rsidR="00C45D34" w:rsidRDefault="00C45D34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1D1D" w14:textId="77777777" w:rsidR="006853B7" w:rsidRDefault="006853B7" w:rsidP="002912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75605E" wp14:editId="0EFEB23F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6A81E" w14:textId="170ACB26" w:rsidR="006853B7" w:rsidRPr="00DB32A3" w:rsidRDefault="006853B7" w:rsidP="00291284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DB32A3">
      <w:rPr>
        <w:color w:val="000000"/>
        <w:kern w:val="3"/>
        <w:sz w:val="20"/>
        <w:szCs w:val="20"/>
        <w:lang w:eastAsia="pl-PL" w:bidi="hi-IN"/>
      </w:rPr>
      <w:t>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40AC64C9" w14:textId="77777777" w:rsidR="006853B7" w:rsidRDefault="006853B7" w:rsidP="00291284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55C6B9DC" w:rsidR="006853B7" w:rsidRDefault="006853B7" w:rsidP="00291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14625"/>
    <w:rsid w:val="000257BC"/>
    <w:rsid w:val="000378F8"/>
    <w:rsid w:val="00037FF4"/>
    <w:rsid w:val="00040922"/>
    <w:rsid w:val="00040977"/>
    <w:rsid w:val="00043CEB"/>
    <w:rsid w:val="00045620"/>
    <w:rsid w:val="0005212C"/>
    <w:rsid w:val="000636A6"/>
    <w:rsid w:val="000A197A"/>
    <w:rsid w:val="000A6ED8"/>
    <w:rsid w:val="000B28E9"/>
    <w:rsid w:val="000C0DAF"/>
    <w:rsid w:val="000E09BA"/>
    <w:rsid w:val="000F3AE9"/>
    <w:rsid w:val="00103E3E"/>
    <w:rsid w:val="001169A4"/>
    <w:rsid w:val="00127DF5"/>
    <w:rsid w:val="001410B2"/>
    <w:rsid w:val="001411EA"/>
    <w:rsid w:val="00141D1C"/>
    <w:rsid w:val="00146AF9"/>
    <w:rsid w:val="00156D57"/>
    <w:rsid w:val="00170BD6"/>
    <w:rsid w:val="001B0A09"/>
    <w:rsid w:val="001B1988"/>
    <w:rsid w:val="001B3164"/>
    <w:rsid w:val="001B67B6"/>
    <w:rsid w:val="001C2FB5"/>
    <w:rsid w:val="001C6B00"/>
    <w:rsid w:val="001D755E"/>
    <w:rsid w:val="001F64C0"/>
    <w:rsid w:val="00202ED0"/>
    <w:rsid w:val="0020452A"/>
    <w:rsid w:val="002048DD"/>
    <w:rsid w:val="00207897"/>
    <w:rsid w:val="00226CE3"/>
    <w:rsid w:val="00232F25"/>
    <w:rsid w:val="00245592"/>
    <w:rsid w:val="00247C7A"/>
    <w:rsid w:val="00255D06"/>
    <w:rsid w:val="00267283"/>
    <w:rsid w:val="00282A5D"/>
    <w:rsid w:val="00282C00"/>
    <w:rsid w:val="00283C24"/>
    <w:rsid w:val="00285673"/>
    <w:rsid w:val="00291284"/>
    <w:rsid w:val="002B3EFE"/>
    <w:rsid w:val="002B67B9"/>
    <w:rsid w:val="002C60EB"/>
    <w:rsid w:val="002C7E63"/>
    <w:rsid w:val="002D0A4E"/>
    <w:rsid w:val="002F03D3"/>
    <w:rsid w:val="002F4F6A"/>
    <w:rsid w:val="0030195E"/>
    <w:rsid w:val="0030765B"/>
    <w:rsid w:val="00317D1D"/>
    <w:rsid w:val="00347B85"/>
    <w:rsid w:val="00362CE9"/>
    <w:rsid w:val="003721A4"/>
    <w:rsid w:val="00377A12"/>
    <w:rsid w:val="00380106"/>
    <w:rsid w:val="00381162"/>
    <w:rsid w:val="0038176D"/>
    <w:rsid w:val="00381F2E"/>
    <w:rsid w:val="00386BDE"/>
    <w:rsid w:val="0039239F"/>
    <w:rsid w:val="003943D9"/>
    <w:rsid w:val="00394675"/>
    <w:rsid w:val="003A083D"/>
    <w:rsid w:val="003B07FE"/>
    <w:rsid w:val="003B6D64"/>
    <w:rsid w:val="003B7CAB"/>
    <w:rsid w:val="003C1631"/>
    <w:rsid w:val="003D34AF"/>
    <w:rsid w:val="003E0512"/>
    <w:rsid w:val="003E5F5B"/>
    <w:rsid w:val="003E7B4E"/>
    <w:rsid w:val="003F5A1C"/>
    <w:rsid w:val="00416704"/>
    <w:rsid w:val="00422218"/>
    <w:rsid w:val="004524E3"/>
    <w:rsid w:val="0046438B"/>
    <w:rsid w:val="00464820"/>
    <w:rsid w:val="00474D64"/>
    <w:rsid w:val="004820FE"/>
    <w:rsid w:val="00491EDA"/>
    <w:rsid w:val="004A2FFA"/>
    <w:rsid w:val="004A45D9"/>
    <w:rsid w:val="004C530A"/>
    <w:rsid w:val="004C5620"/>
    <w:rsid w:val="004C7660"/>
    <w:rsid w:val="004D0709"/>
    <w:rsid w:val="004D58EA"/>
    <w:rsid w:val="00505CE7"/>
    <w:rsid w:val="00510F05"/>
    <w:rsid w:val="00514D7A"/>
    <w:rsid w:val="005214C2"/>
    <w:rsid w:val="00532FA0"/>
    <w:rsid w:val="00533A2C"/>
    <w:rsid w:val="005614F6"/>
    <w:rsid w:val="00576431"/>
    <w:rsid w:val="00580D28"/>
    <w:rsid w:val="00590294"/>
    <w:rsid w:val="0059043C"/>
    <w:rsid w:val="00595DAB"/>
    <w:rsid w:val="005B3876"/>
    <w:rsid w:val="005D7B6A"/>
    <w:rsid w:val="005E6ED0"/>
    <w:rsid w:val="005F4AAA"/>
    <w:rsid w:val="00606932"/>
    <w:rsid w:val="00621544"/>
    <w:rsid w:val="006379BE"/>
    <w:rsid w:val="00666C11"/>
    <w:rsid w:val="006853B7"/>
    <w:rsid w:val="006949F5"/>
    <w:rsid w:val="00695F17"/>
    <w:rsid w:val="00696EF8"/>
    <w:rsid w:val="006B44AC"/>
    <w:rsid w:val="006B6476"/>
    <w:rsid w:val="006B6934"/>
    <w:rsid w:val="006B728A"/>
    <w:rsid w:val="006F14B2"/>
    <w:rsid w:val="006F4220"/>
    <w:rsid w:val="006F6219"/>
    <w:rsid w:val="006F649C"/>
    <w:rsid w:val="007138FD"/>
    <w:rsid w:val="00714E31"/>
    <w:rsid w:val="007158B2"/>
    <w:rsid w:val="00723ACD"/>
    <w:rsid w:val="007337C6"/>
    <w:rsid w:val="007375EF"/>
    <w:rsid w:val="007755C4"/>
    <w:rsid w:val="00795F0D"/>
    <w:rsid w:val="007A204E"/>
    <w:rsid w:val="007C3A2C"/>
    <w:rsid w:val="007D1221"/>
    <w:rsid w:val="007D4F6C"/>
    <w:rsid w:val="007F65D2"/>
    <w:rsid w:val="008031AF"/>
    <w:rsid w:val="008227D9"/>
    <w:rsid w:val="00846A22"/>
    <w:rsid w:val="00860E72"/>
    <w:rsid w:val="00860ED3"/>
    <w:rsid w:val="0086770A"/>
    <w:rsid w:val="00873066"/>
    <w:rsid w:val="0089236F"/>
    <w:rsid w:val="00892EA0"/>
    <w:rsid w:val="008A0BFC"/>
    <w:rsid w:val="008A6DA9"/>
    <w:rsid w:val="008B5CCC"/>
    <w:rsid w:val="008D6FBB"/>
    <w:rsid w:val="008F683A"/>
    <w:rsid w:val="00904FE6"/>
    <w:rsid w:val="0092338C"/>
    <w:rsid w:val="00923CA1"/>
    <w:rsid w:val="00934FB9"/>
    <w:rsid w:val="009369A7"/>
    <w:rsid w:val="00941F3C"/>
    <w:rsid w:val="00963290"/>
    <w:rsid w:val="0097030B"/>
    <w:rsid w:val="00972712"/>
    <w:rsid w:val="00981C7D"/>
    <w:rsid w:val="009C2FB1"/>
    <w:rsid w:val="009F648D"/>
    <w:rsid w:val="00A160EE"/>
    <w:rsid w:val="00A325FD"/>
    <w:rsid w:val="00A54DC4"/>
    <w:rsid w:val="00A72FB7"/>
    <w:rsid w:val="00A90FDE"/>
    <w:rsid w:val="00A97567"/>
    <w:rsid w:val="00AA1292"/>
    <w:rsid w:val="00AB07FA"/>
    <w:rsid w:val="00AB60A5"/>
    <w:rsid w:val="00AC37F1"/>
    <w:rsid w:val="00AC6AEF"/>
    <w:rsid w:val="00AD2031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90910"/>
    <w:rsid w:val="00B97DCB"/>
    <w:rsid w:val="00BA5A5D"/>
    <w:rsid w:val="00BA634C"/>
    <w:rsid w:val="00BA7BEF"/>
    <w:rsid w:val="00BB7367"/>
    <w:rsid w:val="00BF1954"/>
    <w:rsid w:val="00C00695"/>
    <w:rsid w:val="00C025D5"/>
    <w:rsid w:val="00C1088B"/>
    <w:rsid w:val="00C22176"/>
    <w:rsid w:val="00C30A49"/>
    <w:rsid w:val="00C33272"/>
    <w:rsid w:val="00C33938"/>
    <w:rsid w:val="00C34E1D"/>
    <w:rsid w:val="00C45D34"/>
    <w:rsid w:val="00C6742D"/>
    <w:rsid w:val="00C9497E"/>
    <w:rsid w:val="00C96056"/>
    <w:rsid w:val="00C971C1"/>
    <w:rsid w:val="00CA1FC4"/>
    <w:rsid w:val="00CB4793"/>
    <w:rsid w:val="00CC11F7"/>
    <w:rsid w:val="00CD102A"/>
    <w:rsid w:val="00CD232C"/>
    <w:rsid w:val="00D143DF"/>
    <w:rsid w:val="00D2374F"/>
    <w:rsid w:val="00D25423"/>
    <w:rsid w:val="00D26434"/>
    <w:rsid w:val="00D30B34"/>
    <w:rsid w:val="00D34DF5"/>
    <w:rsid w:val="00D53FD5"/>
    <w:rsid w:val="00D828DF"/>
    <w:rsid w:val="00DB0AB8"/>
    <w:rsid w:val="00DC5BB8"/>
    <w:rsid w:val="00DD2F8E"/>
    <w:rsid w:val="00DD3BBC"/>
    <w:rsid w:val="00DD400C"/>
    <w:rsid w:val="00DE1AD8"/>
    <w:rsid w:val="00DE4EC0"/>
    <w:rsid w:val="00E03002"/>
    <w:rsid w:val="00E1453A"/>
    <w:rsid w:val="00E1660F"/>
    <w:rsid w:val="00E2304D"/>
    <w:rsid w:val="00E41231"/>
    <w:rsid w:val="00E519C9"/>
    <w:rsid w:val="00E55F59"/>
    <w:rsid w:val="00E56709"/>
    <w:rsid w:val="00E63DB3"/>
    <w:rsid w:val="00E65C60"/>
    <w:rsid w:val="00E72F95"/>
    <w:rsid w:val="00E970E6"/>
    <w:rsid w:val="00EB2B51"/>
    <w:rsid w:val="00EC4788"/>
    <w:rsid w:val="00ED6689"/>
    <w:rsid w:val="00EE396D"/>
    <w:rsid w:val="00F0172E"/>
    <w:rsid w:val="00F04BFD"/>
    <w:rsid w:val="00F1011A"/>
    <w:rsid w:val="00F4236B"/>
    <w:rsid w:val="00F5426F"/>
    <w:rsid w:val="00F619BD"/>
    <w:rsid w:val="00F729E3"/>
    <w:rsid w:val="00F74F5F"/>
    <w:rsid w:val="00F77C0D"/>
    <w:rsid w:val="00F80D10"/>
    <w:rsid w:val="00F87151"/>
    <w:rsid w:val="00F90381"/>
    <w:rsid w:val="00F92115"/>
    <w:rsid w:val="00FA4D28"/>
    <w:rsid w:val="00FA5405"/>
    <w:rsid w:val="00FA5B5B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6567</Words>
  <Characters>39405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2018-07-12T11:22:00Z</dcterms:created>
  <dcterms:modified xsi:type="dcterms:W3CDTF">2018-07-12T11:22:00Z</dcterms:modified>
</cp:coreProperties>
</file>