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rsidTr="00B25F9D">
        <w:trPr>
          <w:trHeight w:val="406"/>
          <w:jc w:val="center"/>
        </w:trPr>
        <w:tc>
          <w:tcPr>
            <w:tcW w:w="13994" w:type="dxa"/>
            <w:shd w:val="clear" w:color="auto" w:fill="D9D9D9" w:themeFill="background1" w:themeFillShade="D9"/>
            <w:vAlign w:val="center"/>
          </w:tcPr>
          <w:p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rsidTr="00B25F9D">
        <w:trPr>
          <w:trHeight w:val="643"/>
          <w:jc w:val="center"/>
        </w:trPr>
        <w:tc>
          <w:tcPr>
            <w:tcW w:w="13994" w:type="dxa"/>
            <w:shd w:val="clear" w:color="auto" w:fill="F2F2F2" w:themeFill="background1" w:themeFillShade="F2"/>
            <w:vAlign w:val="center"/>
          </w:tcPr>
          <w:p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696E69">
              <w:rPr>
                <w:rFonts w:eastAsia="Lucida Sans Unicode"/>
                <w:b/>
                <w:kern w:val="3"/>
                <w:lang w:eastAsia="zh-CN" w:bidi="hi-IN"/>
              </w:rPr>
              <w:t>4</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696E69">
              <w:rPr>
                <w:rFonts w:eastAsia="Lucida Sans Unicode"/>
                <w:b/>
                <w:kern w:val="3"/>
                <w:lang w:eastAsia="zh-CN" w:bidi="hi-IN"/>
              </w:rPr>
              <w:t>N</w:t>
            </w:r>
            <w:r w:rsidR="00696E69" w:rsidRPr="00696E69">
              <w:rPr>
                <w:rFonts w:eastAsia="Lucida Sans Unicode"/>
                <w:b/>
                <w:kern w:val="3"/>
                <w:lang w:eastAsia="zh-CN" w:bidi="hi-IN"/>
              </w:rPr>
              <w:t>apęd ortopedyczny do operacji stopy</w:t>
            </w:r>
            <w:r w:rsidR="00EA3EDD">
              <w:rPr>
                <w:rFonts w:eastAsia="Lucida Sans Unicode"/>
                <w:b/>
                <w:kern w:val="3"/>
                <w:lang w:eastAsia="zh-CN" w:bidi="hi-IN"/>
              </w:rPr>
              <w:t xml:space="preserve"> (3 zestawy)</w:t>
            </w:r>
          </w:p>
        </w:tc>
      </w:tr>
    </w:tbl>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F44CB3" w:rsidRPr="00AC2198" w:rsidRDefault="00F44CB3" w:rsidP="00CF515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rsidR="00AC2198" w:rsidRPr="00AC2198" w:rsidRDefault="00B12A8E" w:rsidP="00CF515F">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8D0538" w:rsidRPr="00AC2198" w:rsidRDefault="008D0538" w:rsidP="00CF515F">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rsidR="00AC2198" w:rsidRDefault="00AC2198">
      <w:pPr>
        <w:rPr>
          <w:rFonts w:ascii="Century Gothic" w:eastAsia="Times New Roman" w:hAnsi="Century Gothic" w:cs="Arial"/>
          <w:b/>
          <w:bCs/>
        </w:rPr>
      </w:pPr>
      <w:r>
        <w:rPr>
          <w:rFonts w:ascii="Century Gothic" w:eastAsia="Times New Roman" w:hAnsi="Century Gothic" w:cs="Arial"/>
          <w:b/>
          <w:bCs/>
        </w:rPr>
        <w:br w:type="page"/>
      </w:r>
    </w:p>
    <w:p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696E69">
              <w:t xml:space="preserve"> </w:t>
            </w:r>
            <w:r w:rsidR="00696E69">
              <w:rPr>
                <w:rFonts w:ascii="Century Gothic" w:eastAsia="Times New Roman" w:hAnsi="Century Gothic" w:cs="Times New Roman"/>
                <w:b/>
                <w:sz w:val="20"/>
                <w:szCs w:val="20"/>
              </w:rPr>
              <w:t>N</w:t>
            </w:r>
            <w:r w:rsidR="00696E69" w:rsidRPr="00696E69">
              <w:rPr>
                <w:rFonts w:ascii="Century Gothic" w:eastAsia="Times New Roman" w:hAnsi="Century Gothic" w:cs="Times New Roman"/>
                <w:b/>
                <w:sz w:val="20"/>
                <w:szCs w:val="20"/>
              </w:rPr>
              <w:t>apęd ortopedyczny do operacji stopy</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rsidR="00AC2198" w:rsidRPr="00AC2198" w:rsidRDefault="00F15187"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rsidR="00AC2198" w:rsidRPr="00AC2198" w:rsidRDefault="00EA3EDD" w:rsidP="008F08E2">
            <w:pPr>
              <w:spacing w:after="0" w:line="240" w:lineRule="auto"/>
              <w:jc w:val="center"/>
              <w:rPr>
                <w:rFonts w:ascii="Century Gothic" w:eastAsia="Times New Roman" w:hAnsi="Century Gothic" w:cs="Times New Roman"/>
                <w:b/>
                <w:bCs/>
                <w:sz w:val="20"/>
                <w:szCs w:val="20"/>
              </w:rPr>
            </w:pPr>
            <w:r w:rsidRPr="00F15187">
              <w:rPr>
                <w:rFonts w:ascii="Century Gothic" w:eastAsia="Times New Roman" w:hAnsi="Century Gothic" w:cs="Times New Roman"/>
                <w:b/>
                <w:bCs/>
                <w:sz w:val="20"/>
                <w:szCs w:val="20"/>
              </w:rPr>
              <w:t>3 zestawy</w:t>
            </w:r>
          </w:p>
        </w:tc>
        <w:tc>
          <w:tcPr>
            <w:tcW w:w="3686" w:type="dxa"/>
            <w:tcBorders>
              <w:top w:val="nil"/>
              <w:left w:val="single" w:sz="8" w:space="0" w:color="auto"/>
              <w:bottom w:val="single" w:sz="8" w:space="0" w:color="auto"/>
              <w:right w:val="single" w:sz="8" w:space="0" w:color="auto"/>
            </w:tcBorders>
            <w:vAlign w:val="center"/>
          </w:tcPr>
          <w:p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rsidTr="00696E69">
        <w:trPr>
          <w:trHeight w:val="247"/>
        </w:trPr>
        <w:tc>
          <w:tcPr>
            <w:tcW w:w="560" w:type="dxa"/>
            <w:tcBorders>
              <w:top w:val="single" w:sz="4" w:space="0" w:color="auto"/>
              <w:left w:val="single" w:sz="4" w:space="0" w:color="auto"/>
              <w:bottom w:val="single" w:sz="4" w:space="0" w:color="auto"/>
              <w:right w:val="single" w:sz="4" w:space="0" w:color="auto"/>
            </w:tcBorders>
            <w:hideMark/>
          </w:tcPr>
          <w:p w:rsidR="003B50CC" w:rsidRPr="002A5F51" w:rsidRDefault="003B50CC" w:rsidP="003B50CC">
            <w:pPr>
              <w:widowControl w:val="0"/>
              <w:suppressAutoHyphens/>
              <w:spacing w:after="0" w:line="288"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rsidR="003B50CC" w:rsidRPr="003E0817" w:rsidRDefault="003B50CC" w:rsidP="00696E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Konsola sterująca  - możliwość zastosowania do zabiegów ortopedycznych w obrębie stopy i dłoni, możliwość użycia do zabiegów małoinwazyjnych w obrębie stopy</w:t>
            </w:r>
            <w:r>
              <w:rPr>
                <w:rFonts w:ascii="Century Gothic" w:hAnsi="Century Gothic" w:cs="Calibri"/>
                <w:sz w:val="16"/>
                <w:szCs w:val="16"/>
              </w:rPr>
              <w:t xml:space="preserve">, </w:t>
            </w:r>
            <w:r w:rsidRPr="00627DAC">
              <w:rPr>
                <w:rFonts w:ascii="Century Gothic" w:eastAsia="Times New Roman" w:hAnsi="Century Gothic" w:cs="Arial"/>
                <w:bCs/>
                <w:sz w:val="16"/>
                <w:szCs w:val="16"/>
              </w:rPr>
              <w:t xml:space="preserve">3 </w:t>
            </w:r>
            <w:proofErr w:type="spellStart"/>
            <w:r w:rsidRPr="00627DAC">
              <w:rPr>
                <w:rFonts w:ascii="Century Gothic" w:eastAsia="Times New Roman" w:hAnsi="Century Gothic" w:cs="Arial"/>
                <w:bCs/>
                <w:sz w:val="16"/>
                <w:szCs w:val="16"/>
              </w:rPr>
              <w:t>kpl</w:t>
            </w:r>
            <w:proofErr w:type="spellEnd"/>
            <w:r w:rsidRPr="00627DAC">
              <w:rPr>
                <w:rFonts w:ascii="Century Gothic" w:eastAsia="Times New Roman" w:hAnsi="Century Gothic" w:cs="Arial"/>
                <w:bCs/>
                <w:sz w:val="16"/>
                <w:szCs w:val="16"/>
              </w:rPr>
              <w:t>.</w:t>
            </w:r>
            <w:r>
              <w:rPr>
                <w:rFonts w:ascii="Century Gothic" w:eastAsia="Times New Roman" w:hAnsi="Century Gothic" w:cs="Arial"/>
                <w:bCs/>
                <w:sz w:val="16"/>
                <w:szCs w:val="16"/>
              </w:rPr>
              <w:t>,</w:t>
            </w:r>
          </w:p>
          <w:p w:rsidR="00696E69" w:rsidRPr="00627DAC" w:rsidRDefault="00696E69" w:rsidP="00696E69">
            <w:pPr>
              <w:spacing w:line="288" w:lineRule="auto"/>
              <w:rPr>
                <w:rFonts w:ascii="Century Gothic" w:eastAsia="Times New Roman" w:hAnsi="Century Gothic" w:cs="Arial"/>
                <w:bCs/>
                <w:sz w:val="16"/>
                <w:szCs w:val="16"/>
              </w:rPr>
            </w:pPr>
            <w:r>
              <w:rPr>
                <w:rFonts w:ascii="Century Gothic" w:hAnsi="Century Gothic" w:cs="Calibri"/>
                <w:sz w:val="16"/>
                <w:szCs w:val="16"/>
              </w:rPr>
              <w:t>w tym dla każdego kompletu: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wbudowany wyświetlacz LCD</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wbudowana pompa o przepływie </w:t>
            </w:r>
            <w:r>
              <w:rPr>
                <w:rFonts w:ascii="Century Gothic" w:hAnsi="Century Gothic" w:cs="Calibri"/>
                <w:sz w:val="16"/>
                <w:szCs w:val="16"/>
              </w:rPr>
              <w:t>min. 90 ml/min.</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41D4F"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w:t>
            </w:r>
            <w:r w:rsidR="00696E69" w:rsidRPr="00627DAC">
              <w:rPr>
                <w:rFonts w:ascii="Century Gothic" w:eastAsia="Times New Roman" w:hAnsi="Century Gothic" w:cs="Arial"/>
                <w:bCs/>
                <w:sz w:val="16"/>
                <w:szCs w:val="16"/>
              </w:rPr>
              <w: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uchwyt umożliwiający zawieszenie worka z płynem do irygacji o wadze do </w:t>
            </w:r>
            <w:r>
              <w:rPr>
                <w:rFonts w:ascii="Century Gothic" w:hAnsi="Century Gothic" w:cs="Calibri"/>
                <w:sz w:val="16"/>
                <w:szCs w:val="16"/>
              </w:rPr>
              <w:t>2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możliwość wyboru programów użytkownika – </w:t>
            </w:r>
            <w:r>
              <w:rPr>
                <w:rFonts w:ascii="Century Gothic" w:hAnsi="Century Gothic" w:cs="Calibri"/>
                <w:sz w:val="16"/>
                <w:szCs w:val="16"/>
              </w:rPr>
              <w:t xml:space="preserve"> min. 5</w:t>
            </w:r>
            <w:r w:rsidRPr="00627DAC">
              <w:rPr>
                <w:rFonts w:ascii="Century Gothic" w:hAnsi="Century Gothic" w:cs="Calibri"/>
                <w:sz w:val="16"/>
                <w:szCs w:val="16"/>
              </w:rPr>
              <w:t xml:space="preserve"> programów</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Napęd piórowy – możliwość podłączenia nasadek typu: piła oscylacyjna, piła posuwisto - zwrotna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 xml:space="preserve">nasadka do zabiegów MIS, nasadka do drutów </w:t>
            </w:r>
            <w:proofErr w:type="spellStart"/>
            <w:r w:rsidRPr="00627DAC">
              <w:rPr>
                <w:rFonts w:ascii="Century Gothic" w:hAnsi="Century Gothic" w:cs="Calibri"/>
                <w:sz w:val="16"/>
                <w:szCs w:val="16"/>
              </w:rPr>
              <w:t>Kirschnera</w:t>
            </w:r>
            <w:proofErr w:type="spellEnd"/>
            <w:r w:rsidRPr="00627DAC">
              <w:rPr>
                <w:rFonts w:ascii="Century Gothic" w:hAnsi="Century Gothic" w:cs="Calibri"/>
                <w:sz w:val="16"/>
                <w:szCs w:val="16"/>
              </w:rPr>
              <w:t xml:space="preserve">, nasadka wiertarska, obroty w zakresie  </w:t>
            </w:r>
            <w:r>
              <w:rPr>
                <w:rFonts w:ascii="Century Gothic" w:hAnsi="Century Gothic" w:cs="Calibri"/>
                <w:sz w:val="16"/>
                <w:szCs w:val="16"/>
              </w:rPr>
              <w:t>min. 35</w:t>
            </w:r>
            <w:r w:rsidRPr="00627DAC">
              <w:rPr>
                <w:rFonts w:ascii="Century Gothic" w:hAnsi="Century Gothic" w:cs="Calibri"/>
                <w:sz w:val="16"/>
                <w:szCs w:val="16"/>
              </w:rPr>
              <w:t xml:space="preserve">0 - 15 000 </w:t>
            </w:r>
            <w:proofErr w:type="spellStart"/>
            <w:r w:rsidRPr="00627DAC">
              <w:rPr>
                <w:rFonts w:ascii="Century Gothic" w:hAnsi="Century Gothic" w:cs="Calibri"/>
                <w:sz w:val="16"/>
                <w:szCs w:val="16"/>
              </w:rPr>
              <w:t>obr</w:t>
            </w:r>
            <w:proofErr w:type="spellEnd"/>
            <w:r w:rsidRPr="00627DAC">
              <w:rPr>
                <w:rFonts w:ascii="Century Gothic" w:hAnsi="Century Gothic" w:cs="Calibri"/>
                <w:sz w:val="16"/>
                <w:szCs w:val="16"/>
              </w:rPr>
              <w:t>/min, możliwość regulacji obrotów i momentu obrotowego</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rsidR="00696E69" w:rsidRPr="00627DAC" w:rsidRDefault="00696E69" w:rsidP="00696E69">
            <w:pPr>
              <w:spacing w:line="288"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napęd nie wymagający konserwacji i smarowania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wbudowany przewód sterujący długość</w:t>
            </w:r>
            <w:r>
              <w:rPr>
                <w:rFonts w:ascii="Century Gothic" w:hAnsi="Century Gothic" w:cs="Calibri"/>
                <w:sz w:val="16"/>
                <w:szCs w:val="16"/>
              </w:rPr>
              <w:t xml:space="preserve"> min. 3 m</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możliwość mycia i dezynfekcji w myjce automatycznej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Wyłącznik nożny czteroprzyciskowy - funkcja wyboru programu użytkownika, regulacji prędkości obrotowej, zmiany kierunku obrotów, uruchomienia pompy płuczącej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spacing w:line="288" w:lineRule="auto"/>
              <w:rPr>
                <w:rFonts w:ascii="Century Gothic" w:eastAsia="Times New Roman" w:hAnsi="Century Gothic" w:cs="Arial"/>
                <w:bCs/>
                <w:sz w:val="16"/>
                <w:szCs w:val="16"/>
              </w:rPr>
            </w:pPr>
            <w:r w:rsidRPr="00627DAC">
              <w:rPr>
                <w:rFonts w:ascii="Century Gothic" w:hAnsi="Century Gothic" w:cs="Calibri"/>
                <w:sz w:val="16"/>
                <w:szCs w:val="16"/>
              </w:rPr>
              <w:t>klasa wodoszczelności</w:t>
            </w:r>
            <w:r>
              <w:rPr>
                <w:rFonts w:ascii="Century Gothic" w:hAnsi="Century Gothic" w:cs="Calibri"/>
                <w:sz w:val="16"/>
                <w:szCs w:val="16"/>
              </w:rPr>
              <w:t xml:space="preserve"> min.</w:t>
            </w:r>
            <w:r w:rsidRPr="00627DAC">
              <w:rPr>
                <w:rFonts w:ascii="Century Gothic" w:hAnsi="Century Gothic" w:cs="Calibri"/>
                <w:sz w:val="16"/>
                <w:szCs w:val="16"/>
              </w:rPr>
              <w:t xml:space="preserve"> IPX8</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sz w:val="16"/>
                <w:szCs w:val="16"/>
              </w:rPr>
            </w:pPr>
            <w:r w:rsidRPr="00627DAC">
              <w:rPr>
                <w:rFonts w:ascii="Century Gothic" w:hAnsi="Century Gothic" w:cs="Calibri"/>
                <w:sz w:val="16"/>
                <w:szCs w:val="16"/>
              </w:rPr>
              <w:t>Inne: wyposażenie</w:t>
            </w:r>
            <w:r>
              <w:rPr>
                <w:rFonts w:ascii="Century Gothic" w:hAnsi="Century Gothic" w:cs="Calibri"/>
                <w:sz w:val="16"/>
                <w:szCs w:val="16"/>
              </w:rPr>
              <w:t xml:space="preserve"> (tolerancja wszystkich rozmiarów +/- 2 [%])</w:t>
            </w:r>
            <w:r w:rsidRPr="00627DAC">
              <w:rPr>
                <w:rFonts w:ascii="Century Gothic" w:hAnsi="Century Gothic" w:cs="Calibri"/>
                <w:sz w:val="16"/>
                <w:szCs w:val="16"/>
              </w:rPr>
              <w:t>:</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Nasadka typu AO Nasadka wiertarska Jacobs hybrydowa, zakres 0-5,0mm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drutów </w:t>
            </w:r>
            <w:proofErr w:type="spellStart"/>
            <w:r w:rsidRPr="00627DAC">
              <w:rPr>
                <w:rFonts w:ascii="Century Gothic" w:hAnsi="Century Gothic" w:cs="Calibri"/>
                <w:sz w:val="16"/>
                <w:szCs w:val="16"/>
              </w:rPr>
              <w:t>Kirschnera</w:t>
            </w:r>
            <w:proofErr w:type="spellEnd"/>
            <w:r w:rsidRPr="00627DAC">
              <w:rPr>
                <w:rFonts w:ascii="Century Gothic" w:hAnsi="Century Gothic" w:cs="Calibri"/>
                <w:sz w:val="16"/>
                <w:szCs w:val="16"/>
              </w:rPr>
              <w:t xml:space="preserve"> 0,6 - 1,6 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drutów </w:t>
            </w:r>
            <w:proofErr w:type="spellStart"/>
            <w:r w:rsidRPr="00627DAC">
              <w:rPr>
                <w:rFonts w:ascii="Century Gothic" w:hAnsi="Century Gothic" w:cs="Calibri"/>
                <w:sz w:val="16"/>
                <w:szCs w:val="16"/>
              </w:rPr>
              <w:t>Kirschnera</w:t>
            </w:r>
            <w:proofErr w:type="spellEnd"/>
            <w:r w:rsidRPr="00627DAC">
              <w:rPr>
                <w:rFonts w:ascii="Century Gothic" w:hAnsi="Century Gothic" w:cs="Calibri"/>
                <w:sz w:val="16"/>
                <w:szCs w:val="16"/>
              </w:rPr>
              <w:t xml:space="preserve"> 1,2 – 2,4 mm</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typu piła oscylacyjna, oscylacje w zakresie min. 0-13 500 </w:t>
            </w:r>
            <w:proofErr w:type="spellStart"/>
            <w:r w:rsidRPr="00627DAC">
              <w:rPr>
                <w:rFonts w:ascii="Century Gothic" w:hAnsi="Century Gothic" w:cs="Calibri"/>
                <w:sz w:val="16"/>
                <w:szCs w:val="16"/>
              </w:rPr>
              <w:t>osc</w:t>
            </w:r>
            <w:proofErr w:type="spellEnd"/>
            <w:r w:rsidRPr="00627DAC">
              <w:rPr>
                <w:rFonts w:ascii="Century Gothic" w:hAnsi="Century Gothic" w:cs="Calibri"/>
                <w:sz w:val="16"/>
                <w:szCs w:val="16"/>
              </w:rPr>
              <w:t>./min.</w:t>
            </w:r>
          </w:p>
          <w:p w:rsidR="00696E69" w:rsidRPr="00627DAC" w:rsidRDefault="00696E69" w:rsidP="00CF515F">
            <w:pPr>
              <w:pStyle w:val="Akapitzlist"/>
              <w:numPr>
                <w:ilvl w:val="0"/>
                <w:numId w:val="3"/>
              </w:numPr>
              <w:autoSpaceDE w:val="0"/>
              <w:autoSpaceDN w:val="0"/>
              <w:adjustRightInd w:val="0"/>
              <w:ind w:left="470" w:hanging="357"/>
              <w:rPr>
                <w:rFonts w:ascii="Century Gothic" w:hAnsi="Century Gothic" w:cs="Calibri"/>
                <w:sz w:val="16"/>
                <w:szCs w:val="16"/>
              </w:rPr>
            </w:pPr>
            <w:r w:rsidRPr="00627DAC">
              <w:rPr>
                <w:rFonts w:ascii="Century Gothic" w:hAnsi="Century Gothic" w:cs="Calibri"/>
                <w:sz w:val="16"/>
                <w:szCs w:val="16"/>
              </w:rPr>
              <w:t xml:space="preserve">Nasadka do zabiegów MIS, obroty min. 0-13 500 </w:t>
            </w:r>
            <w:proofErr w:type="spellStart"/>
            <w:r w:rsidRPr="00627DAC">
              <w:rPr>
                <w:rFonts w:ascii="Century Gothic" w:hAnsi="Century Gothic" w:cs="Calibri"/>
                <w:sz w:val="16"/>
                <w:szCs w:val="16"/>
              </w:rPr>
              <w:t>obr</w:t>
            </w:r>
            <w:proofErr w:type="spellEnd"/>
            <w:r w:rsidRPr="00627DAC">
              <w:rPr>
                <w:rFonts w:ascii="Century Gothic" w:hAnsi="Century Gothic" w:cs="Calibri"/>
                <w:sz w:val="16"/>
                <w:szCs w:val="16"/>
              </w:rPr>
              <w:t>./min</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color w:val="FF0000"/>
                <w:sz w:val="16"/>
                <w:szCs w:val="16"/>
              </w:rPr>
            </w:pPr>
            <w:r w:rsidRPr="00627DAC">
              <w:rPr>
                <w:rFonts w:ascii="Century Gothic" w:hAnsi="Century Gothic" w:cs="Calibri"/>
                <w:sz w:val="16"/>
                <w:szCs w:val="16"/>
              </w:rPr>
              <w:t xml:space="preserve">Adapter </w:t>
            </w:r>
            <w:proofErr w:type="spellStart"/>
            <w:r w:rsidRPr="00627DAC">
              <w:rPr>
                <w:rFonts w:ascii="Century Gothic" w:hAnsi="Century Gothic" w:cs="Calibri"/>
                <w:sz w:val="16"/>
                <w:szCs w:val="16"/>
              </w:rPr>
              <w:t>kaniulowany</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r w:rsidR="00696E69" w:rsidRPr="003E0817" w:rsidTr="00696E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6E69" w:rsidRPr="00483C43" w:rsidRDefault="00696E69"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rsidR="00696E69" w:rsidRPr="00627DAC" w:rsidRDefault="00696E69" w:rsidP="00696E69">
            <w:pPr>
              <w:autoSpaceDE w:val="0"/>
              <w:autoSpaceDN w:val="0"/>
              <w:adjustRightInd w:val="0"/>
              <w:rPr>
                <w:rFonts w:ascii="Century Gothic" w:hAnsi="Century Gothic" w:cs="Calibri"/>
                <w:color w:val="FF0000"/>
                <w:sz w:val="16"/>
                <w:szCs w:val="16"/>
              </w:rPr>
            </w:pPr>
            <w:r w:rsidRPr="00627DAC">
              <w:rPr>
                <w:rFonts w:ascii="Century Gothic" w:hAnsi="Century Gothic" w:cs="Calibri"/>
                <w:sz w:val="16"/>
                <w:szCs w:val="16"/>
              </w:rPr>
              <w:t>Kaseta sterylizacyjna do napędu</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696E69" w:rsidRPr="00627DAC" w:rsidRDefault="00696E69" w:rsidP="00696E69">
            <w:pPr>
              <w:spacing w:line="288" w:lineRule="auto"/>
              <w:jc w:val="center"/>
              <w:rPr>
                <w:rFonts w:ascii="Century Gothic" w:eastAsia="Times New Roman" w:hAnsi="Century Gothic" w:cs="Arial"/>
                <w:bCs/>
                <w:sz w:val="16"/>
                <w:szCs w:val="16"/>
              </w:rPr>
            </w:pPr>
            <w:r w:rsidRPr="00627DAC">
              <w:rPr>
                <w:rFonts w:ascii="Century Gothic" w:eastAsia="Times New Roman" w:hAnsi="Century Gothic" w:cs="Arial"/>
                <w:bCs/>
                <w:sz w:val="16"/>
                <w:szCs w:val="16"/>
              </w:rPr>
              <w:t>- - -</w:t>
            </w:r>
          </w:p>
        </w:tc>
      </w:tr>
    </w:tbl>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rsidTr="00016078">
        <w:tc>
          <w:tcPr>
            <w:tcW w:w="534" w:type="dxa"/>
            <w:tcBorders>
              <w:top w:val="single" w:sz="4" w:space="0" w:color="auto"/>
              <w:left w:val="single" w:sz="4" w:space="0" w:color="auto"/>
              <w:bottom w:val="single" w:sz="4" w:space="0" w:color="auto"/>
              <w:right w:val="single" w:sz="4" w:space="0" w:color="auto"/>
            </w:tcBorders>
            <w:hideMark/>
          </w:tcPr>
          <w:p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rsidR="00776089" w:rsidRPr="003B50CC" w:rsidRDefault="00776089" w:rsidP="00EA3EDD">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Gwarancja na aparat [miesiące]</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bCs/>
                <w:iCs/>
                <w:sz w:val="16"/>
                <w:szCs w:val="16"/>
              </w:rPr>
              <w:t xml:space="preserve">UWAGA - należy podać pełną liczbę miesięcy. Wartości ułamkowe będą przy ocenie zaokrąglane w </w:t>
            </w:r>
            <w:r w:rsidRPr="00EA3EDD">
              <w:rPr>
                <w:rFonts w:ascii="Century Gothic" w:hAnsi="Century Gothic" w:cstheme="minorHAnsi"/>
                <w:bCs/>
                <w:iCs/>
                <w:sz w:val="16"/>
                <w:szCs w:val="16"/>
              </w:rPr>
              <w:lastRenderedPageBreak/>
              <w:t>dół – do pełnych miesięcy. Zamawiający zastrzega, że okres rękojmi musi być równy okresowi gwarancji. 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&gt;= 24</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spacing w:line="288" w:lineRule="auto"/>
              <w:jc w:val="center"/>
              <w:rPr>
                <w:rFonts w:ascii="Century Gothic" w:eastAsia="Times New Roman" w:hAnsi="Century Gothic" w:cs="Arial"/>
                <w:bCs/>
                <w:sz w:val="16"/>
                <w:szCs w:val="16"/>
              </w:rPr>
            </w:pPr>
            <w:r w:rsidRPr="00EA3EDD">
              <w:rPr>
                <w:rFonts w:ascii="Century Gothic" w:eastAsia="Times New Roman" w:hAnsi="Century Gothic" w:cs="Arial"/>
                <w:bCs/>
                <w:sz w:val="16"/>
                <w:szCs w:val="16"/>
              </w:rPr>
              <w:t>najdłuższy okres – 10 pkt.,</w:t>
            </w:r>
          </w:p>
          <w:p w:rsidR="00EA3EDD" w:rsidRPr="00EA3EDD" w:rsidRDefault="00EA3EDD" w:rsidP="00EA3EDD">
            <w:pPr>
              <w:spacing w:line="288" w:lineRule="auto"/>
              <w:jc w:val="center"/>
              <w:rPr>
                <w:rFonts w:ascii="Century Gothic" w:eastAsia="Times New Roman" w:hAnsi="Century Gothic" w:cs="Arial"/>
                <w:b/>
                <w:bCs/>
                <w:sz w:val="16"/>
                <w:szCs w:val="16"/>
              </w:rPr>
            </w:pPr>
            <w:r w:rsidRPr="00EA3EDD">
              <w:rPr>
                <w:rFonts w:ascii="Century Gothic" w:eastAsia="Times New Roman" w:hAnsi="Century Gothic" w:cs="Arial"/>
                <w:bCs/>
                <w:sz w:val="16"/>
                <w:szCs w:val="16"/>
              </w:rPr>
              <w:t>inne – proporcjonalnie mniej (względem najkorzystniejszej oferty)</w:t>
            </w: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EA3EDD">
              <w:rPr>
                <w:rFonts w:ascii="Century Gothic" w:hAnsi="Century Gothic" w:cstheme="minorHAnsi"/>
                <w:color w:val="FF0000"/>
                <w:sz w:val="16"/>
                <w:szCs w:val="16"/>
              </w:rPr>
              <w:t xml:space="preserve"> </w:t>
            </w:r>
            <w:r w:rsidRPr="00EA3EDD">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Liczba przeglądów okresowych niezbędnych do wykonywania po upływie gwarancji dla potwierdzenia bezpiecznej eksploatacji aparatu – podać, opisać zakres.</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0B13F3" w:rsidP="00EA3EDD">
            <w:pPr>
              <w:pStyle w:val="Standard"/>
              <w:snapToGrid w:val="0"/>
              <w:spacing w:line="288" w:lineRule="auto"/>
              <w:rPr>
                <w:rFonts w:ascii="Century Gothic" w:hAnsi="Century Gothic" w:cstheme="minorHAnsi"/>
                <w:sz w:val="16"/>
                <w:szCs w:val="16"/>
              </w:rPr>
            </w:pPr>
            <w:r w:rsidRPr="000B13F3">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 xml:space="preserve">Wymiana podzespołu na nowy – natychmiastowa lub co najwyżej po pierwszej nieskutecznej próbie jego </w:t>
            </w:r>
            <w:r w:rsidRPr="00EA3EDD">
              <w:rPr>
                <w:rFonts w:ascii="Century Gothic" w:hAnsi="Century Gothic" w:cstheme="minorHAnsi"/>
                <w:sz w:val="16"/>
                <w:szCs w:val="16"/>
              </w:rPr>
              <w:lastRenderedPageBreak/>
              <w:t>naprawy</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 xml:space="preserve">Możliwość zgłoszeń 24 </w:t>
            </w:r>
            <w:proofErr w:type="spellStart"/>
            <w:r w:rsidRPr="00EA3EDD">
              <w:rPr>
                <w:rFonts w:ascii="Century Gothic" w:hAnsi="Century Gothic" w:cstheme="minorHAnsi"/>
                <w:sz w:val="16"/>
                <w:szCs w:val="16"/>
              </w:rPr>
              <w:t>godz</w:t>
            </w:r>
            <w:proofErr w:type="spellEnd"/>
            <w:r w:rsidRPr="00EA3EDD">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Czas reakcji serwisu (przyjęte zgłoszenie – podjęta naprawa) 2 dni robocze.</w:t>
            </w:r>
          </w:p>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(1) - Należy przewidzieć szkolenia w wymiarze do 2 dni roboczych oraz zapewnić możliwość stałego wsparcia aplikacyjnego</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Akapitzlist"/>
              <w:spacing w:after="0" w:line="288" w:lineRule="auto"/>
              <w:ind w:left="0"/>
              <w:rPr>
                <w:rFonts w:ascii="Century Gothic" w:eastAsia="Times New Roman" w:hAnsi="Century Gothic" w:cstheme="minorHAnsi"/>
                <w:sz w:val="16"/>
                <w:szCs w:val="16"/>
              </w:rPr>
            </w:pPr>
            <w:r w:rsidRPr="00EA3EDD">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w:t>
            </w:r>
            <w:r w:rsidRPr="00EA3EDD">
              <w:rPr>
                <w:rFonts w:ascii="Century Gothic" w:hAnsi="Century Gothic" w:cstheme="minorHAnsi"/>
                <w:sz w:val="16"/>
                <w:szCs w:val="16"/>
              </w:rPr>
              <w:lastRenderedPageBreak/>
              <w:t>potwierdzone certyfikatem</w:t>
            </w:r>
          </w:p>
          <w:p w:rsidR="00EA3EDD" w:rsidRPr="00EA3EDD" w:rsidRDefault="00EA3EDD" w:rsidP="00EA3EDD">
            <w:pPr>
              <w:pStyle w:val="Standard"/>
              <w:snapToGrid w:val="0"/>
              <w:spacing w:line="288" w:lineRule="auto"/>
              <w:rPr>
                <w:rFonts w:ascii="Century Gothic" w:hAnsi="Century Gothic" w:cstheme="minorHAns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(1) - Należy przewidzieć szkolenia w wymiarze do 2 dni roboczych oraz zapewnić możliwość stałego wsparcia aplikacyjnego</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Standard"/>
              <w:snapToGrid w:val="0"/>
              <w:spacing w:line="288" w:lineRule="auto"/>
              <w:rPr>
                <w:rFonts w:ascii="Century Gothic" w:hAnsi="Century Gothic" w:cstheme="minorHAnsi"/>
                <w:i/>
                <w:sz w:val="16"/>
                <w:szCs w:val="16"/>
              </w:rPr>
            </w:pPr>
            <w:r w:rsidRPr="00EA3EDD">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rsidR="00EA3EDD" w:rsidRPr="00EA3EDD" w:rsidRDefault="00EA3EDD" w:rsidP="00EA3EDD">
            <w:pPr>
              <w:pStyle w:val="Standard"/>
              <w:snapToGrid w:val="0"/>
              <w:spacing w:line="288" w:lineRule="auto"/>
              <w:rPr>
                <w:rFonts w:ascii="Century Gothic" w:hAnsi="Century Gothic" w:cstheme="minorHAnsi"/>
                <w:i/>
                <w:sz w:val="16"/>
                <w:szCs w:val="16"/>
              </w:rPr>
            </w:pPr>
          </w:p>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p w:rsidR="00EA3EDD" w:rsidRPr="00EA3EDD" w:rsidRDefault="00EA3EDD" w:rsidP="00EA3EDD">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b/>
                <w:sz w:val="16"/>
                <w:szCs w:val="16"/>
              </w:rPr>
            </w:pPr>
            <w:r w:rsidRPr="00EA3EDD">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 xml:space="preserve">Dokumentacja serwisowa i/lub oprogramowanie serwisowe na potrzeby Zamawiającego (dokumentacja zapewni co najmniej pełną diagnostykę urządzenia, wykonywanie drobnych </w:t>
            </w:r>
            <w:r w:rsidRPr="00EA3EDD">
              <w:rPr>
                <w:rFonts w:ascii="Century Gothic" w:hAnsi="Century Gothic" w:cstheme="minorHAnsi"/>
                <w:sz w:val="16"/>
                <w:szCs w:val="16"/>
              </w:rPr>
              <w:lastRenderedPageBreak/>
              <w:t>napraw, regulacji, kalibracji, etc.)</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tr w:rsidR="00EA3EDD" w:rsidRPr="003B50CC" w:rsidTr="00EA3EDD">
        <w:tc>
          <w:tcPr>
            <w:tcW w:w="534" w:type="dxa"/>
            <w:tcBorders>
              <w:top w:val="single" w:sz="4" w:space="0" w:color="auto"/>
              <w:left w:val="single" w:sz="4" w:space="0" w:color="auto"/>
              <w:bottom w:val="single" w:sz="4" w:space="0" w:color="auto"/>
              <w:right w:val="single" w:sz="4" w:space="0" w:color="auto"/>
            </w:tcBorders>
          </w:tcPr>
          <w:p w:rsidR="00EA3EDD" w:rsidRPr="003B50CC" w:rsidRDefault="00EA3EDD" w:rsidP="00CF515F">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rPr>
                <w:rFonts w:ascii="Century Gothic" w:hAnsi="Century Gothic" w:cstheme="minorHAnsi"/>
                <w:sz w:val="16"/>
                <w:szCs w:val="16"/>
              </w:rPr>
            </w:pPr>
            <w:r w:rsidRPr="00EA3EDD">
              <w:rPr>
                <w:rFonts w:ascii="Century Gothic" w:hAnsi="Century Gothic" w:cstheme="minorHAnsi"/>
                <w:sz w:val="16"/>
                <w:szCs w:val="16"/>
              </w:rPr>
              <w:t>Instrukcja obsługi w języku polskim w formie elektronicznej i drukowanej.</w:t>
            </w:r>
          </w:p>
        </w:tc>
        <w:tc>
          <w:tcPr>
            <w:tcW w:w="1843"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snapToGrid w:val="0"/>
              <w:spacing w:line="288" w:lineRule="auto"/>
              <w:jc w:val="center"/>
              <w:rPr>
                <w:rFonts w:ascii="Century Gothic" w:hAnsi="Century Gothic" w:cstheme="minorHAnsi"/>
                <w:sz w:val="16"/>
                <w:szCs w:val="16"/>
              </w:rPr>
            </w:pPr>
            <w:r w:rsidRPr="00EA3EDD">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rsidR="00EA3EDD" w:rsidRPr="00EA3EDD" w:rsidRDefault="00EA3EDD" w:rsidP="00EA3EDD">
            <w:pPr>
              <w:pStyle w:val="Zawartotabeli"/>
              <w:snapToGrid w:val="0"/>
              <w:spacing w:line="288" w:lineRule="auto"/>
              <w:jc w:val="center"/>
              <w:rPr>
                <w:rFonts w:ascii="Century Gothic" w:hAnsi="Century Gothic" w:cs="Arial"/>
                <w:sz w:val="16"/>
                <w:szCs w:val="16"/>
              </w:rPr>
            </w:pPr>
          </w:p>
        </w:tc>
      </w:tr>
      <w:bookmarkEnd w:id="0"/>
    </w:tbl>
    <w:p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C7" w:rsidRDefault="00DD30C7" w:rsidP="005A1349">
      <w:pPr>
        <w:spacing w:after="0" w:line="240" w:lineRule="auto"/>
      </w:pPr>
      <w:r>
        <w:separator/>
      </w:r>
    </w:p>
  </w:endnote>
  <w:endnote w:type="continuationSeparator" w:id="0">
    <w:p w:rsidR="00DD30C7" w:rsidRDefault="00DD30C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rsidR="00776089" w:rsidRDefault="00776089">
        <w:pPr>
          <w:pStyle w:val="Stopka"/>
        </w:pPr>
        <w:r>
          <w:fldChar w:fldCharType="begin"/>
        </w:r>
        <w:r>
          <w:instrText>PAGE   \* MERGEFORMAT</w:instrText>
        </w:r>
        <w:r>
          <w:fldChar w:fldCharType="separate"/>
        </w:r>
        <w:r w:rsidR="000B13F3">
          <w:rPr>
            <w:noProof/>
          </w:rPr>
          <w:t>8</w:t>
        </w:r>
        <w:r>
          <w:fldChar w:fldCharType="end"/>
        </w:r>
      </w:p>
    </w:sdtContent>
  </w:sdt>
  <w:p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C7" w:rsidRDefault="00DD30C7" w:rsidP="005A1349">
      <w:pPr>
        <w:spacing w:after="0" w:line="240" w:lineRule="auto"/>
      </w:pPr>
      <w:r>
        <w:separator/>
      </w:r>
    </w:p>
  </w:footnote>
  <w:footnote w:type="continuationSeparator" w:id="0">
    <w:p w:rsidR="00DD30C7" w:rsidRDefault="00DD30C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57DCC29" wp14:editId="760E2B11">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696E69">
      <w:rPr>
        <w:rFonts w:ascii="Garamond" w:eastAsia="Times New Roman" w:hAnsi="Garamond" w:cs="Times New Roman"/>
      </w:rPr>
      <w:t>4</w:t>
    </w:r>
  </w:p>
  <w:p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F62B49"/>
    <w:multiLevelType w:val="hybridMultilevel"/>
    <w:tmpl w:val="723A7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13F3"/>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66C1C"/>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1D4F"/>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6E69"/>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51FE"/>
    <w:rsid w:val="008B627F"/>
    <w:rsid w:val="008B678C"/>
    <w:rsid w:val="008C1FF0"/>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CF515F"/>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D30C7"/>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3EDD"/>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187"/>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4">
      <w:bodyDiv w:val="1"/>
      <w:marLeft w:val="0"/>
      <w:marRight w:val="0"/>
      <w:marTop w:val="0"/>
      <w:marBottom w:val="0"/>
      <w:divBdr>
        <w:top w:val="none" w:sz="0" w:space="0" w:color="auto"/>
        <w:left w:val="none" w:sz="0" w:space="0" w:color="auto"/>
        <w:bottom w:val="none" w:sz="0" w:space="0" w:color="auto"/>
        <w:right w:val="none" w:sz="0" w:space="0" w:color="auto"/>
      </w:divBdr>
    </w:div>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59A85-72C9-4D6C-A717-F8A4015B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1233</Words>
  <Characters>7402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2019-11-14T08:03:00Z</dcterms:created>
  <dcterms:modified xsi:type="dcterms:W3CDTF">2019-11-22T08:25:00Z</dcterms:modified>
</cp:coreProperties>
</file>