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6875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36875" w:rsidRPr="009B3B77" w:rsidRDefault="00B36875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B36875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B95BEE" w:rsidRPr="00B95BEE" w:rsidRDefault="00B95BEE" w:rsidP="00B36875">
            <w:pPr>
              <w:pStyle w:val="Skrconyadreszwrotny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</w:t>
            </w: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przeznaczonych dla </w:t>
            </w:r>
            <w:r w:rsidR="000D4747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B36875" w:rsidRPr="00B36875" w:rsidRDefault="00B36875" w:rsidP="00B36875">
            <w:pPr>
              <w:pStyle w:val="Skrconyadreszwrotny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Część 7 respirator typu </w:t>
            </w:r>
            <w:proofErr w:type="spellStart"/>
            <w:r w:rsidRPr="00B95BEE">
              <w:rPr>
                <w:rFonts w:ascii="Garamond" w:hAnsi="Garamond"/>
                <w:b/>
                <w:sz w:val="22"/>
                <w:szCs w:val="22"/>
              </w:rPr>
              <w:t>jet</w:t>
            </w:r>
            <w:proofErr w:type="spellEnd"/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 (wysokoczęstotliwościowy) – 2 sztuki</w:t>
            </w:r>
          </w:p>
        </w:tc>
      </w:tr>
    </w:tbl>
    <w:p w:rsidR="00B36875" w:rsidRDefault="00B36875" w:rsidP="00E355B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E355B1" w:rsidRDefault="0097030B" w:rsidP="00E355B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4016F8">
        <w:rPr>
          <w:rFonts w:ascii="Garamond" w:hAnsi="Garamond"/>
          <w:sz w:val="22"/>
          <w:szCs w:val="22"/>
        </w:rPr>
        <w:t>Uwagi i objaśnienia:</w:t>
      </w:r>
      <w:r w:rsidR="00E355B1" w:rsidRPr="00E355B1">
        <w:rPr>
          <w:rFonts w:ascii="Garamond" w:hAnsi="Garamond"/>
          <w:sz w:val="22"/>
          <w:szCs w:val="22"/>
        </w:rPr>
        <w:t xml:space="preserve"> 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</w:t>
      </w:r>
      <w:r>
        <w:rPr>
          <w:rFonts w:ascii="Garamond" w:hAnsi="Garamond"/>
          <w:sz w:val="22"/>
          <w:szCs w:val="22"/>
        </w:rPr>
        <w:t>Tak</w:t>
      </w:r>
      <w:r w:rsidRPr="00320EBB">
        <w:rPr>
          <w:rFonts w:ascii="Garamond" w:hAnsi="Garamond"/>
          <w:sz w:val="22"/>
          <w:szCs w:val="22"/>
        </w:rPr>
        <w:t>” są parametrami granicznymi. Udzielenie odpowiedzi „nie”  lub innej nie stanowiącej jednoznacznego potwierdzenia spełniania warunku będzie skutkowało odrzuceniem oferty.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E355B1" w:rsidRPr="00320EBB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E355B1" w:rsidRPr="00320EBB" w:rsidTr="00FD28E9">
        <w:trPr>
          <w:gridAfter w:val="1"/>
          <w:wAfter w:w="571" w:type="dxa"/>
          <w:trHeight w:val="652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548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42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54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62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36875" w:rsidRPr="009B3B77" w:rsidTr="00B9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B95BEE" w:rsidRPr="00B95BEE" w:rsidRDefault="00B95BEE" w:rsidP="00B95BEE">
            <w:pPr>
              <w:ind w:left="924" w:hanging="51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0D4747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7"/>
        <w:gridCol w:w="1815"/>
        <w:gridCol w:w="3624"/>
        <w:gridCol w:w="5208"/>
      </w:tblGrid>
      <w:tr w:rsidR="00B36875" w:rsidRPr="009B3B77" w:rsidTr="00B36875">
        <w:trPr>
          <w:trHeight w:val="342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B36875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B36875" w:rsidRDefault="00B36875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36875">
              <w:rPr>
                <w:rFonts w:ascii="Garamond" w:hAnsi="Garamond"/>
                <w:sz w:val="22"/>
                <w:szCs w:val="22"/>
              </w:rPr>
              <w:t xml:space="preserve">Respirator typu </w:t>
            </w:r>
            <w:proofErr w:type="spellStart"/>
            <w:r w:rsidRPr="00B36875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B36875">
              <w:rPr>
                <w:rFonts w:ascii="Garamond" w:hAnsi="Garamond"/>
                <w:sz w:val="22"/>
                <w:szCs w:val="22"/>
              </w:rPr>
              <w:t xml:space="preserve"> (wysokoczęstotliwościowy)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B36875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B36875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B36875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B36875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6875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B36875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B36875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36875">
              <w:rPr>
                <w:rFonts w:ascii="Garamond" w:hAnsi="Garamond"/>
                <w:sz w:val="22"/>
                <w:szCs w:val="22"/>
              </w:rPr>
              <w:t xml:space="preserve">Respirator typu </w:t>
            </w:r>
            <w:proofErr w:type="spellStart"/>
            <w:r w:rsidRPr="00B36875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B36875">
              <w:rPr>
                <w:rFonts w:ascii="Garamond" w:hAnsi="Garamond"/>
                <w:sz w:val="22"/>
                <w:szCs w:val="22"/>
              </w:rPr>
              <w:t xml:space="preserve"> (wysokoczęstotliwościowy)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p w:rsidR="00B36875" w:rsidRPr="009B3B77" w:rsidRDefault="00B36875" w:rsidP="00B36875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B36875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6875" w:rsidRPr="009B3B77" w:rsidRDefault="00B36875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875" w:rsidRPr="009B3B77" w:rsidRDefault="00B36875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4016F8" w:rsidRDefault="0097030B" w:rsidP="0097030B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  <w:r w:rsidRPr="004016F8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RPr="004016F8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E355B1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AB1D1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opka"/>
              <w:tabs>
                <w:tab w:val="left" w:pos="708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aparat do wentylacji dyszowej wysokimi częstotliwościami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dotykowy – przekątna min. 8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wartość wymagana – 1 pkt., wyższa niż wymagana – 2 pkt.</w:t>
            </w:r>
          </w:p>
          <w:p w:rsidR="00AB1D14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odłączany – 3 pkt.</w:t>
            </w:r>
          </w:p>
          <w:p w:rsidR="00AB1D14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zintegrowany – 1 pkt.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wentylacja dyszowa- dwa kanały JET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stały przepływ boczny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wyświetlanie wszystkich mierzonych parametrów ciśnienia i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krzywa ciśnienia w drogach oddechowych - graficzna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ustawienia alarmowe  min.: szczytowe ciśnienie wdechowe PIP, ciśnienie przerwy 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AB1D14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monitorowane parametry: min. częstotliwość, czas wdechu, FiO2, ciśnienie w drogach oddechowych, przepływ boczny, monitoring TV, etCO2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 xml:space="preserve">ustawiane parametry:  min. częstotliwość </w:t>
            </w:r>
            <w:proofErr w:type="spellStart"/>
            <w:r w:rsidRPr="004016F8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4016F8">
              <w:rPr>
                <w:rFonts w:ascii="Garamond" w:hAnsi="Garamond"/>
                <w:sz w:val="22"/>
                <w:szCs w:val="22"/>
              </w:rPr>
              <w:t>, czas wdechu, FiO2, poziom nawilżania, Bypass, ciśnienie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BA55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waga jednostki głównej – poniżej 20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wartość wymagana – 1 pkt., niższa niż wymagana – 2 pkt.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aparat na wózku mobilnym z uchwytami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łącznik do wentylacji dyszowej i adapter do monitorowania dróg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mieszalnik O2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</w:tbl>
    <w:p w:rsidR="007B5FBC" w:rsidRPr="004016F8" w:rsidRDefault="007B5FBC" w:rsidP="007B5FBC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7B5FBC" w:rsidRPr="004016F8" w:rsidRDefault="007B5FBC" w:rsidP="007B5FBC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4016F8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06"/>
        <w:gridCol w:w="1843"/>
        <w:gridCol w:w="4647"/>
        <w:gridCol w:w="2410"/>
      </w:tblGrid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4016F8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7B5FBC"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3 pkt.</w:t>
            </w:r>
          </w:p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</w:t>
            </w:r>
            <w:r w:rsidR="00E355B1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że reakcji zdalnej): „przyjęte zgłoszenie – podjęta naprawa” =&lt; </w:t>
            </w:r>
            <w:r w:rsidRPr="004016F8">
              <w:rPr>
                <w:rFonts w:ascii="Garamond" w:hAnsi="Garamond"/>
                <w:sz w:val="22"/>
                <w:szCs w:val="22"/>
              </w:rPr>
              <w:t>48</w:t>
            </w: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4016F8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4016F8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4016F8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</w:t>
            </w:r>
            <w:proofErr w:type="spellStart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kon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tu</w:t>
            </w:r>
            <w:proofErr w:type="spellEnd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 liczbę osób serwisu 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4016F8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4016F8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 xml:space="preserve"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</w:t>
            </w:r>
            <w:r w:rsidRPr="004016F8">
              <w:rPr>
                <w:rFonts w:ascii="Garamond" w:hAnsi="Garamond"/>
                <w:sz w:val="22"/>
                <w:szCs w:val="22"/>
              </w:rPr>
              <w:lastRenderedPageBreak/>
              <w:t>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7B5FBC" w:rsidRPr="004016F8" w:rsidRDefault="007B5FBC" w:rsidP="007B5FBC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7B5FBC" w:rsidRPr="004016F8" w:rsidRDefault="007B5FBC" w:rsidP="007B5FBC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Uwaga – szkolenia dodatkowe dla wszystkich grup w co najmniej 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iej samej liczbie osób jak podano w powyższych punktach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F8" w:rsidRPr="004016F8" w:rsidRDefault="004016F8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Instrukcje obsługi w języku polskim w formie elektronicznej i drukowanej (przekazane w momencie dostawy dla każdego egzemplarza) – dotyczy </w:t>
            </w:r>
            <w:r w:rsidR="00E355B1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Wykonawca w ramach dostawy sprzętu zobowiązuje się dostarczyć komplet akcesoriów, okablowania itp. asortymentu niezbędnego do uruchomienia i funkcjonowania aparatu jako całości w wymaganej 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mycia i dezynfekcji poszczególnych elementów aparatów w oparciu o przedstawione 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przez wykonawcę zalecane preparaty myjące i dezynfekujące.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386BDE" w:rsidRPr="004016F8" w:rsidRDefault="00386BDE" w:rsidP="007B5FBC">
      <w:pPr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sectPr w:rsidR="00386BDE" w:rsidRPr="004016F8" w:rsidSect="0097030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5A" w:rsidRDefault="0062145A" w:rsidP="0097030B">
      <w:r>
        <w:separator/>
      </w:r>
    </w:p>
  </w:endnote>
  <w:endnote w:type="continuationSeparator" w:id="0">
    <w:p w:rsidR="0062145A" w:rsidRDefault="0062145A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16F8" w:rsidRDefault="004016F8" w:rsidP="004016F8">
            <w:pPr>
              <w:pStyle w:val="Stopka"/>
              <w:rPr>
                <w:sz w:val="20"/>
                <w:szCs w:val="20"/>
              </w:rPr>
            </w:pPr>
          </w:p>
          <w:p w:rsidR="004016F8" w:rsidRDefault="004016F8" w:rsidP="004016F8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4016F8" w:rsidRDefault="004016F8" w:rsidP="004016F8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  <w:p w:rsidR="004016F8" w:rsidRPr="007B77B0" w:rsidRDefault="0062145A" w:rsidP="004016F8">
            <w:pPr>
              <w:pStyle w:val="Stopka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5A" w:rsidRDefault="0062145A" w:rsidP="0097030B">
      <w:r>
        <w:separator/>
      </w:r>
    </w:p>
  </w:footnote>
  <w:footnote w:type="continuationSeparator" w:id="0">
    <w:p w:rsidR="0062145A" w:rsidRDefault="0062145A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8" w:rsidRDefault="004016F8" w:rsidP="004016F8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272BBA2F" wp14:editId="53927749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36875" w:rsidRDefault="00B36875" w:rsidP="00B3687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7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B36875" w:rsidRPr="00EA6D32" w:rsidRDefault="00B36875" w:rsidP="00B3687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4016F8" w:rsidRPr="00EA6D32" w:rsidRDefault="004016F8" w:rsidP="00B3687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C808C2E"/>
    <w:lvl w:ilvl="0" w:tplc="686A1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40977"/>
    <w:rsid w:val="000A197A"/>
    <w:rsid w:val="000D4747"/>
    <w:rsid w:val="00146AF9"/>
    <w:rsid w:val="001575CE"/>
    <w:rsid w:val="001B1988"/>
    <w:rsid w:val="002B3EFE"/>
    <w:rsid w:val="00380106"/>
    <w:rsid w:val="00386BDE"/>
    <w:rsid w:val="0039239F"/>
    <w:rsid w:val="003B07FE"/>
    <w:rsid w:val="003D08F0"/>
    <w:rsid w:val="003E7B4E"/>
    <w:rsid w:val="004016F8"/>
    <w:rsid w:val="004A2FFA"/>
    <w:rsid w:val="004A45D9"/>
    <w:rsid w:val="00532FA0"/>
    <w:rsid w:val="00576431"/>
    <w:rsid w:val="0062145A"/>
    <w:rsid w:val="006C00A7"/>
    <w:rsid w:val="00747A63"/>
    <w:rsid w:val="007B5FBC"/>
    <w:rsid w:val="00846A22"/>
    <w:rsid w:val="0097030B"/>
    <w:rsid w:val="00A4355B"/>
    <w:rsid w:val="00AB1D14"/>
    <w:rsid w:val="00B36875"/>
    <w:rsid w:val="00B95BEE"/>
    <w:rsid w:val="00C012AD"/>
    <w:rsid w:val="00CB1A67"/>
    <w:rsid w:val="00DD7201"/>
    <w:rsid w:val="00DF3749"/>
    <w:rsid w:val="00E355B1"/>
    <w:rsid w:val="00E63DB3"/>
    <w:rsid w:val="00ED6689"/>
    <w:rsid w:val="00F5426F"/>
    <w:rsid w:val="00F729E3"/>
    <w:rsid w:val="00FC3BD9"/>
    <w:rsid w:val="00FD4AC8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0C4F-A95F-4E60-A1DC-F306AB3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016F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E355B1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355B1"/>
    <w:rPr>
      <w:rFonts w:ascii="Garamond" w:eastAsia="Times New Roman" w:hAnsi="Garamond" w:cs="Times New Roman"/>
      <w:b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9</cp:revision>
  <dcterms:created xsi:type="dcterms:W3CDTF">2018-04-24T14:54:00Z</dcterms:created>
  <dcterms:modified xsi:type="dcterms:W3CDTF">2018-05-25T06:10:00Z</dcterms:modified>
</cp:coreProperties>
</file>