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E6" w:rsidRPr="00CE16E6" w:rsidRDefault="00CE16E6" w:rsidP="00CE16E6">
      <w:pPr>
        <w:pStyle w:val="Tytu"/>
        <w:rPr>
          <w:sz w:val="20"/>
          <w:szCs w:val="20"/>
        </w:rPr>
      </w:pPr>
      <w:r w:rsidRPr="00CE16E6">
        <w:rPr>
          <w:sz w:val="20"/>
          <w:szCs w:val="20"/>
        </w:rPr>
        <w:t>OPIS PRZEDMIOTU ZAMÓWIENIA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b/>
          <w:sz w:val="20"/>
          <w:szCs w:val="20"/>
        </w:rPr>
      </w:pPr>
    </w:p>
    <w:p w:rsidR="009A5449" w:rsidRPr="00CE16E6" w:rsidRDefault="009A5449" w:rsidP="009A5449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CE16E6">
        <w:rPr>
          <w:rFonts w:ascii="Garamond" w:hAnsi="Garamond"/>
          <w:b/>
          <w:u w:val="single"/>
        </w:rPr>
        <w:t>Robot Neurochirurgiczny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Uwagi i objaśnienia: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  <w:lang w:val="en-US"/>
        </w:rPr>
      </w:pPr>
      <w:r w:rsidRPr="00CE16E6">
        <w:rPr>
          <w:rFonts w:ascii="Garamond" w:hAnsi="Garamond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Wykonawca zobowiązany jest do podania parametrów w jednostkach wskazanych w niniejszym opisie.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16E6">
        <w:rPr>
          <w:rFonts w:ascii="Garamond" w:hAnsi="Garamond"/>
          <w:sz w:val="18"/>
          <w:szCs w:val="18"/>
        </w:rPr>
        <w:t>rekondycjonowanym</w:t>
      </w:r>
      <w:proofErr w:type="spellEnd"/>
      <w:r w:rsidRPr="00CE16E6">
        <w:rPr>
          <w:rFonts w:ascii="Garamond" w:hAnsi="Garamond"/>
          <w:sz w:val="18"/>
          <w:szCs w:val="18"/>
        </w:rPr>
        <w:t>, powystawowym i nie był wykorzystywany wcześniej przez innego użytkownika.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Rok produkcji (min. 2018): …..............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Klasa wyrobu medycznego: 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A356A1" w:rsidRDefault="009A5449" w:rsidP="009A5449">
      <w:pPr>
        <w:spacing w:line="288" w:lineRule="auto"/>
        <w:rPr>
          <w:rFonts w:ascii="Garamond" w:hAnsi="Garamond"/>
          <w:b/>
          <w:bCs/>
          <w:sz w:val="20"/>
          <w:szCs w:val="20"/>
        </w:rPr>
      </w:pPr>
      <w:r w:rsidRPr="00A356A1">
        <w:rPr>
          <w:rFonts w:ascii="Garamond" w:hAnsi="Garamond"/>
          <w:b/>
          <w:bCs/>
          <w:sz w:val="20"/>
          <w:szCs w:val="20"/>
        </w:rPr>
        <w:t>Parametry techniczne i eksploatacyjne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1559"/>
        <w:gridCol w:w="4820"/>
        <w:gridCol w:w="2410"/>
      </w:tblGrid>
      <w:tr w:rsidR="00A356A1" w:rsidRPr="00A356A1" w:rsidTr="00460176">
        <w:tc>
          <w:tcPr>
            <w:tcW w:w="850" w:type="dxa"/>
            <w:vAlign w:val="center"/>
          </w:tcPr>
          <w:p w:rsidR="009A5449" w:rsidRPr="00A356A1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A356A1">
              <w:rPr>
                <w:rFonts w:ascii="Garamond" w:hAnsi="Garamond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A356A1" w:rsidRDefault="009A5449" w:rsidP="00460176">
            <w:pPr>
              <w:pStyle w:val="Zawartotabeli"/>
              <w:snapToGrid w:val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A356A1">
              <w:rPr>
                <w:rFonts w:ascii="Garamond" w:hAnsi="Garamond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449" w:rsidRPr="00A356A1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356A1">
              <w:rPr>
                <w:rFonts w:ascii="Garamond" w:hAnsi="Garamond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A356A1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A356A1">
              <w:rPr>
                <w:rFonts w:ascii="Garamond" w:hAnsi="Garamond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5449" w:rsidRPr="00A356A1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16"/>
                <w:szCs w:val="16"/>
                <w:highlight w:val="yellow"/>
              </w:rPr>
            </w:pPr>
            <w:r w:rsidRPr="00A356A1">
              <w:rPr>
                <w:rFonts w:ascii="Garamond" w:hAnsi="Garamond" w:cs="Arial"/>
                <w:b/>
                <w:sz w:val="16"/>
                <w:szCs w:val="16"/>
              </w:rPr>
              <w:t>OCENA PKT.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Ramię robota o min. sześciu stopniach swobody + manualny ruch liniowy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Ładowność ramienia – min.3,0 kg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Zakres pracy ramienia min. 600 mm (bez dodatkowych narzędzi)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Kąty rotacji: ±167°, -87° do 132°, -17° do +168°,   ±157°, ±117°, ±177°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Zakres kontroli dokładności &lt; 0,5 mm (bez narzędzia)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Hamulec bezpieczeństwa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Izolacja termiczna: typ BF, z dodaną izolacją elektryczną obwodu pacjenta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Mobilność: 4 koła + 3 hydraulicznie podnoszone stopki do unieruchomienia na ziemi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C17F24" w:rsidP="00C1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Komputer min: procesor o wydajności gwarantującej obsługę wszystkich oferowanych funkcji, 8GB RAM, 2GB karta graficzna, DVD ±RW 8x, USB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Ekran: min 19” (48,3cm), proporcje obrazu 5:4 rozdzielczość 1280x1024, kąt widzenia min. 178°, aktywna matryca TFT LCD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przekątna wymagana – 0 pkt.</w:t>
            </w:r>
          </w:p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1 pkt.</w:t>
            </w:r>
          </w:p>
        </w:tc>
      </w:tr>
      <w:tr w:rsidR="00A356A1" w:rsidRPr="00A356A1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Zintegrowane czujniki momentu obrotowego w trybie dotykowym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Dokładność pozycjonowania ramienia robota &lt; 0,75mm RMS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Zakres roboczy ramienia:  min 820 [mm]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  <w:r w:rsidR="00556040"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Zasilanie: 115V~ lub 230V~, 50-60Hz, 8A przy 230V, 12A przy 115V transformator separacyjny 2,5kVA (CE), 2,0kVA (USA/Canada)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Długość kabla zasilającego: min 480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Pole magnetyczne przy częstotliwości sieci 50/60HZ: min 3 A/m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Mobilny wózek do wsparcia ramienia robota i integracji platformy obliczeniowej z ekranem dotykowym. USB i CD-DVD interfejs, umożliwiający zablokowanie urządzenia za pomocą siłowników hydraulicznych.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Orientacyjne wymiary wózka min: h (wysokość?)=1500mm,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szer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>=650mm, dług=1205mm, +/- 5 [%]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Waga wózka - poniżej 350 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Interfejs PACS oprogramowania do podłączenia do sieci PACS poprzez Ethernet, umożliwiający import obrazów CT i MRI z wykorzystaniem standardu 3.0 DICOM.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Graficzny interfejs użytkownika do planowania operacyjnego, przedoperacyjnej nawigacji i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bezramowej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stereotaksji, umożliwiający zdefiniowanie do 20 niezależnych torów, 20 markerów i 10 obszarów zainteresowania, umożliwia import obrazów CT i MRI pacjenta za pośrednictwem płyty CD, DVD i USB z wykorzystaniem standardu DICOM 3.0 a także umożliwia zapisywanie folderów pacjenta zawierających planowane trajektorie, markery i obszary zainteresowania.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Mechaniczne ramię przegubowe do sztywnego mocowania wózka do uchwytu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kościotrzymacza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neurochirurgicznego.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Sonda mechaniczna do lokalizacji struktur anatomicznych podczas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neuronawigacji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Mechaniczny uchwyt do dokładnego kierowania narzędziami neurochirurgicznymi (np. do biopsji, stymulacji lub elektrody rejestrujące). Umieszczany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Zestaw adapterów narzędzi w celu dostosowania narzędzi chirurgicznych o różnych średnicach.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Sonda mechaniczna do lokalizacji markerów skóry podczas rejestracji.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Moduł oprogramowania do ręcznego rejestrowania pozycji pacjenta przy użyciu markerów skóry.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Optyczny czujnik odległości do bezdotykowej lokalizacji struktur anatomicznych,  do automatycznej rejestracji bez markerów i nawigacji bez użycia rąk.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Moduł oprogramowania do dopasowywania automatycznej rejestracji bez markerów.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Moduł oprogramowania do scalania wielu zestawów danych pacjenta,  umożliwiający ręczne ustawienie do 3 multimodalnych obrazów (CT lub MRI) z wykorzystaniem anatomicznych punktów orientacyjnych.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Moduł oprogramowania planowania chirurgicznego w neurochirurgii czynnościowej,  umożliwiający ustawienie obrazów pacjenta na układzie odniesienia AC-PC. Punkty odniesienia AC-PC są zdefiniowane ręcznie, umożliwia określenie współrzędnych docelowych w układzie odniesienia AC-PC.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Moduł oprogramowania do planowania 2D i rejestracji ze zdjęciami X-Ray 2D  przy użyciu wzorca kalibracji, umożliwiający scalanie zdjęć X-Ray 2D z  maksymalnie 2 zdjęciami CT lub MRI w 3D.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Narzędzie kalibracji z nieprzeziernym wzorcem, umożliwiający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682DD0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Moduł oprogramowania do planowania 2D i rejestracji ze zdjęciami X-Ray 2D przy użyciu wzorca X-Ray dla ramy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Leksellu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, umożliwiający scalanie zdjęć X-Ray 2D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2D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 z maksymalnie 2 zdjęciami 3D CT lub MRI z ramą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Leksell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682DD0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682DD0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Kompatybilne narzędzie kalibracji  ramy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Leksell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z 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radionieprzeziernym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wzorcem, umożliwia ręczne rejestrowania obrazów 2D X-Ray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682DD0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682DD0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Moduł  oprogramowania do planowania 3D i rejestracji w ramy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Leksell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z użyciem wzorca kalibracji.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682DD0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682DD0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Narzędzie rejestracji rama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Leksell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-  robot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682DD0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BE4FF0" w:rsidP="00BE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Komputer z następującą minimalną konfiguracją:  - system operacyjny współpracujący z oferowanym aparatem, procesor o parametrach wymaganych przez producenta aparatu do obsługi wszystkich oferowanych funkcji,   - Ekran 15,4 cala,  - CD / DVD napęd optyczny; porty USB,- Karta graficzna zgodna z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OpenGL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,  - Połączenie Ethernet interfejsu PACS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Oprogramowanie do planowania chirurgicznego dla dodatkowej stacji planowania, umożliwiające zdefiniowanie do 20 niezależnych trajektorii, 20 markerów i 10 obszarów zainteresowania, umożliwia import obrazów CT i MRI pacjenta poprzez CD, DVD i USB przy użyciu standardu DICOM 3.0 a także umożliwia eksport folderów pacjenta zawierających planowane trajektorie, markery i regiony zainteresowania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Interfejs oprogramowania do podłączenia do sieci PACS poprzez Ethernet,  umożliwiający import obrazów CT i MRI z wykorzystaniem standardu 3.0 DICOM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446118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Moduł oprogramowania do neurochirurgii endoskopowej,  umożliwiający specyficzne planowanie chirurgiczne,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neuronawigację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i manipulację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robotyczną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446118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446118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Uchwyt mechaniczny do dokładnego mechanicznego kierowania endoskopem neurochirurgicznym podczas procedur komorowych i adapter do przystosowania specyficznego modelu endoskopu. Pozycjonowany przez ramię robota,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446118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446118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Adaptor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do przystosowania uchwytu endoskopu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446118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Moduł oprogramowania do endoskopowej neurochirurgii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przeznosoweju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 umożliwiający specyficzne planowanie chirurgiczne,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neuronawigację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 i manipulację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robotyczną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Uchwyt mechaniczny dla dokładnego mechanicznego kierowania endoskopem neurochirurgicznym podczas procedur przez nosowych.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0D3C07" w:rsidRPr="00A356A1" w:rsidRDefault="000D3C07" w:rsidP="000D3C0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Urządzenie w konfiguracji do operacji kręgosłupa, wyposażone w system nawigacji otolaryngologicznej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0D3C07" w:rsidRPr="00A356A1" w:rsidRDefault="000D3C07" w:rsidP="000D3C0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0D3C07" w:rsidRPr="00A356A1" w:rsidRDefault="000D3C07" w:rsidP="000D3C0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EB52D7" w:rsidRPr="00A356A1" w:rsidRDefault="00EB52D7" w:rsidP="00EB52D7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EB52D7" w:rsidRPr="00A356A1" w:rsidRDefault="00EB52D7" w:rsidP="00EB52D7">
            <w:pPr>
              <w:autoSpaceDE w:val="0"/>
              <w:autoSpaceDN w:val="0"/>
              <w:adjustRightInd w:val="0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Kamera waga – poniżej 150 kg, orientacyjne wymiary: 200 x 90 x 90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B52D7" w:rsidRPr="00A356A1" w:rsidRDefault="00EB52D7" w:rsidP="00EB52D7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EB52D7" w:rsidRPr="00A356A1" w:rsidRDefault="00EB52D7" w:rsidP="00EB52D7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EB52D7" w:rsidRPr="00A356A1" w:rsidRDefault="00EB52D7" w:rsidP="00EB52D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  <w:t>wartość wagi wymagana – 0 pkt.</w:t>
            </w:r>
          </w:p>
          <w:p w:rsidR="00EB52D7" w:rsidRPr="00A356A1" w:rsidRDefault="00EB52D7" w:rsidP="00EB52D7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b/>
                <w:bCs/>
                <w:sz w:val="20"/>
                <w:szCs w:val="20"/>
              </w:rPr>
              <w:t>Materiały eksploatacyjne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A356A1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Sterylne obłożenia używane do obłożenia ramienia robota i ekranu dotykowego. Obłożenie ramienia: 30 "* 61" (76 * 155 cm) i obłożenie monitora: 30 "* 62" (76 * 157 cm).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A356A1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A356A1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Uchwyt do dokładnego mechanicznego kierowania narzędziami neurochirurgicznymi (np.: igły biopsyjne, różne elektrody). Pozycjonowany przez ramię robota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Adaptor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do przystosowania narzędzi chirurgicznych o różnych średnicach. Przeznaczony do kierowania igłami biopsyjnymi, różnymi elektrodami.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Adapter do przystosowania uchwytu endoskopowego.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Medtronic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A356A1">
              <w:rPr>
                <w:rFonts w:ascii="Garamond" w:hAnsi="Garamond" w:cs="Calibri"/>
                <w:sz w:val="20"/>
                <w:szCs w:val="20"/>
              </w:rPr>
              <w:t>Alpha</w:t>
            </w:r>
            <w:proofErr w:type="spellEnd"/>
            <w:r w:rsidRPr="00A356A1">
              <w:rPr>
                <w:rFonts w:ascii="Garamond" w:hAnsi="Garamond" w:cs="Calibri"/>
                <w:sz w:val="20"/>
                <w:szCs w:val="20"/>
              </w:rPr>
              <w:t xml:space="preserve"> Omega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Uchwyt mechaniczny dla dokładnego mechanicznego kierowania endoskopem neurochirurgicznym podczas procedur komorowych.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Uchwyt mechaniczny dla dokładnego mechanicznego kierowania endoskopem neurochirurgicznym podczas procedur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przeznosowych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z w:val="20"/>
                <w:szCs w:val="20"/>
              </w:rPr>
              <w:t>Narzędzie kalibracji z nieprzeziernym wzorcem, umożliwiające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Narzędzie kalibracji z nieprzeziernym wzorcem kompatybilne z ramą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Leksellu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, umożliwia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A356A1" w:rsidRPr="00A356A1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A356A1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Narzędzie rejestracji rama </w:t>
            </w:r>
            <w:proofErr w:type="spellStart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Leksell</w:t>
            </w:r>
            <w:proofErr w:type="spellEnd"/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 xml:space="preserve"> -  robot.</w:t>
            </w:r>
          </w:p>
          <w:p w:rsidR="007431CF" w:rsidRPr="00A356A1" w:rsidRDefault="007431CF" w:rsidP="007431CF">
            <w:pPr>
              <w:autoSpaceDE w:val="0"/>
              <w:autoSpaceDN w:val="0"/>
              <w:adjustRightInd w:val="0"/>
              <w:jc w:val="both"/>
              <w:rPr>
                <w:rFonts w:ascii="Garamond" w:hAnsi="Garamond" w:cs="Calibri"/>
                <w:strike/>
                <w:sz w:val="20"/>
                <w:szCs w:val="20"/>
              </w:rPr>
            </w:pPr>
            <w:r w:rsidRPr="00A356A1">
              <w:rPr>
                <w:rFonts w:ascii="Garamond" w:hAnsi="Garamond" w:cs="Calibri"/>
                <w:strike/>
                <w:sz w:val="20"/>
                <w:szCs w:val="20"/>
              </w:rPr>
              <w:t>Rama stereotaktyczna spełniająca n/w wymagania: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Bazowy pierścień stereotaktyczny wykonany z trwałych i odpornych na odkształcanie stopów metali, mocowany do głowy pacjenta stabilnie 4 śrubami; śruby i łuk nie powinny powodować artefaktów w badaniu TK oraz MR mających wpływ na dokładność zabiegu (możliwe dwa zestawy śrub –odrębne do badania TK i MR).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Łuk stereotaktyczny, kompatybilny z ramą stereotaktyczną, wykonany z trwałych i odpornych na odkształcanie stopów metali.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 xml:space="preserve">W zestawie konieczne łączniki zapewniające sztywne połączenie ramy ze stołem operacyjnym (system </w:t>
            </w:r>
            <w:proofErr w:type="spellStart"/>
            <w:r w:rsidRPr="00A356A1">
              <w:rPr>
                <w:rFonts w:ascii="Garamond" w:hAnsi="Garamond"/>
                <w:strike/>
                <w:sz w:val="16"/>
                <w:szCs w:val="16"/>
              </w:rPr>
              <w:t>Mayfield</w:t>
            </w:r>
            <w:proofErr w:type="spellEnd"/>
            <w:r w:rsidRPr="00A356A1">
              <w:rPr>
                <w:rFonts w:ascii="Garamond" w:hAnsi="Garamond"/>
                <w:strike/>
                <w:sz w:val="16"/>
                <w:szCs w:val="16"/>
              </w:rPr>
              <w:t>) oraz aparatem TK (na czas badania) oraz MR (na czas badania).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W zestawie konieczny fantom (symulator punktu docelowego) do potwierdzenia lokalizacji celu zabiegu.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lastRenderedPageBreak/>
              <w:t>W zestawie konieczny lokalizator do przestrzennego lokalizowania celów na podstawie obrazowania TK w płaszczyźnie osiowej, kompatybilny z pozostałymi elementami oraz oprogramowaniem.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W zestawie konieczny lokalizator do przestrzennego lokalizowania celów na podstawie obrazowania MR w płaszczyźnie osiowej, kompatybilny z pozostałymi elementami oraz oprogramowaniem.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W zestawie konieczny wywzorcowany wskaźnik  do potwierdzenia współrzędnych celu  po nałożeniu ramy stereotaktycznej na symulator punktu docelowego.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W zestawie 2 igły biopsyjne wielorazowe, kompatybilne z układem ramy.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 xml:space="preserve">Łuk stereotaktyczny powinien być podparty z dwóch stron, zapewniając sztywność ramy oraz zachowanie odpowiedniej dokładności. 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 xml:space="preserve">Pierścień stereotaktyczny powinien zapewniać możliwość awaryjnej intubacji pacjenta bez zdejmowania pierścienia z głowy pacjenta. 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 xml:space="preserve">Rama powinna zapewniać możliwość dowolnego przestrzennego wyboru celu i trajektorii (w tym możliwość wyboru dostępu z boku oraz z tyłu).  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 xml:space="preserve">Rama powinna zapewniać możliwość zmiany ustawienia łuku względem głowy pacjenta i wprowadzenia poprawek współrzędnych w czasie zabiegu, w strefie sterylnej, bez konieczności demontażu całego łuku. 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Rama powinna posiadać wyraźne, dokładne skale do ustawiania współrzędnych przestrzennych, naniesione trwale na częściach składowych łuku i fantomu, pozwalające na precyzyjne ustawienie celu zabiegu , z dokładnością liniową 0,1mm.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Wielkość błędu całego układu przestrzennego nie powinna przekraczać 0,5mm.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Rama powinna posiadać łatwe w obsłudze śruby zaciskowe, zapewniające niezawodne ustalanie i zabezpieczenie nastaw na skalach współrzędnych przestrzennych.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Konieczna kompatybilność całego układu ramy z posiadanym w OK Neurochirurgii SU oprogramowaniem do planowania zabiegów stereotaktycznych lub zapewnienie odpowiedniego oprogramowania , kompatybilnego z systemem diagnostyki obrazowej stosowanym w SU.</w:t>
            </w:r>
          </w:p>
          <w:p w:rsidR="007431CF" w:rsidRPr="00A356A1" w:rsidRDefault="007431CF" w:rsidP="007431CF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Rama powinna zapewniać możliwość sterylizacji wszystkich jej elementów w sterylizacji plazmowej , gazowej jak również parowej.</w:t>
            </w:r>
          </w:p>
          <w:p w:rsidR="007431CF" w:rsidRPr="00A356A1" w:rsidRDefault="007431CF" w:rsidP="00C272E3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Garamond" w:hAnsi="Garamond"/>
                <w:strike/>
                <w:sz w:val="16"/>
                <w:szCs w:val="16"/>
              </w:rPr>
            </w:pPr>
            <w:r w:rsidRPr="00A356A1">
              <w:rPr>
                <w:rFonts w:ascii="Garamond" w:hAnsi="Garamond"/>
                <w:strike/>
                <w:sz w:val="16"/>
                <w:szCs w:val="16"/>
              </w:rPr>
              <w:t>Możliwość zakupienia igieł biopsyjnych wielorazowych kompatybilnych z ramą i oprogramowaniem.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A356A1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  <w:r w:rsidRPr="00A356A1">
              <w:rPr>
                <w:rFonts w:ascii="Garamond" w:hAnsi="Garamond" w:cs="Arial"/>
                <w:sz w:val="20"/>
                <w:szCs w:val="20"/>
              </w:rPr>
              <w:t>punkt usunięty – nie będzie wymagany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A356A1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</w:pPr>
            <w:r w:rsidRPr="00A356A1">
              <w:rPr>
                <w:rFonts w:ascii="Garamond" w:hAnsi="Garamond" w:cs="Arial"/>
                <w:strike/>
                <w:sz w:val="16"/>
                <w:szCs w:val="16"/>
                <w:lang w:eastAsia="ar-SA"/>
              </w:rPr>
              <w:t>- - -</w:t>
            </w:r>
          </w:p>
        </w:tc>
      </w:tr>
      <w:tr w:rsidR="007431CF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1D04CD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1D04CD" w:rsidRDefault="007431CF" w:rsidP="0074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1D04CD">
              <w:rPr>
                <w:rFonts w:ascii="Garamond" w:hAnsi="Garamond" w:cs="Calibri"/>
                <w:sz w:val="20"/>
                <w:szCs w:val="20"/>
              </w:rPr>
              <w:t xml:space="preserve">Mechaniczna sonda mechaniczna do lokalizacji struktur anatomicznych lub punktów orientacyjnych podczas </w:t>
            </w:r>
            <w:proofErr w:type="spellStart"/>
            <w:r w:rsidRPr="001D04CD">
              <w:rPr>
                <w:rFonts w:ascii="Garamond" w:hAnsi="Garamond" w:cs="Calibri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1D04CD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1D04CD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6C18F4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6C18F4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7431CF" w:rsidRPr="006C18F4" w:rsidTr="00460176">
        <w:tc>
          <w:tcPr>
            <w:tcW w:w="850" w:type="dxa"/>
            <w:tcBorders>
              <w:bottom w:val="single" w:sz="4" w:space="0" w:color="auto"/>
            </w:tcBorders>
          </w:tcPr>
          <w:p w:rsidR="007431CF" w:rsidRPr="001D04CD" w:rsidRDefault="007431CF" w:rsidP="007431CF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7431CF" w:rsidRPr="001D04CD" w:rsidRDefault="007431CF" w:rsidP="0074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1D04CD">
              <w:rPr>
                <w:rFonts w:ascii="Garamond" w:hAnsi="Garamond" w:cs="Calibri"/>
                <w:sz w:val="20"/>
                <w:szCs w:val="20"/>
              </w:rPr>
              <w:t>Mechaniczna sonda do lokalizacji markerów skórnych podczas rejestracji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431CF" w:rsidRPr="001D04CD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1D04CD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7431CF" w:rsidRPr="006C18F4" w:rsidRDefault="007431CF" w:rsidP="007431CF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431CF" w:rsidRPr="006C18F4" w:rsidRDefault="007431CF" w:rsidP="007431CF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6C18F4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</w:tbl>
    <w:p w:rsidR="009A5449" w:rsidRPr="00CE16E6" w:rsidRDefault="009A5449" w:rsidP="009A5449">
      <w:pPr>
        <w:spacing w:line="288" w:lineRule="auto"/>
        <w:rPr>
          <w:rFonts w:ascii="Garamond" w:hAnsi="Garamond"/>
        </w:rPr>
      </w:pP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CE16E6">
        <w:rPr>
          <w:rFonts w:ascii="Garamond" w:hAnsi="Garamond"/>
          <w:b/>
          <w:color w:val="000000" w:themeColor="text1"/>
          <w:sz w:val="20"/>
          <w:szCs w:val="20"/>
        </w:rPr>
        <w:t>Warunki gwarancji, serwisu i szkolenia</w:t>
      </w: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Nagwek3"/>
              <w:widowControl/>
              <w:numPr>
                <w:ilvl w:val="2"/>
                <w:numId w:val="2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CE16E6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E16E6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 medycznego z zakresu obsługi urządzenia (min. 16 osób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CE16E6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CE16E6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dodatkowe, w razie potrzeby, w innym terminie </w:t>
            </w:r>
            <w:r w:rsidR="000402C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ustalonym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kierownikiem pracowni,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Instrukcja konserwacji, mycia, dezynfekcji i sterylizacji dla zaoferowanych elementów wraz z urządzeniami peryferyjnymi (jeśli dotyczy), dostarczona przy dostawie i wskazująca, że czynności te prawidłowo wykonane nie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9A5449" w:rsidRPr="00CE16E6" w:rsidRDefault="009A5449" w:rsidP="009A5449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9A5449" w:rsidRPr="00CE16E6" w:rsidSect="00D728A4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BF3" w:rsidRDefault="00D72BF3" w:rsidP="00D728A4">
      <w:pPr>
        <w:spacing w:after="0" w:line="240" w:lineRule="auto"/>
      </w:pPr>
      <w:r>
        <w:separator/>
      </w:r>
    </w:p>
  </w:endnote>
  <w:endnote w:type="continuationSeparator" w:id="0">
    <w:p w:rsidR="00D72BF3" w:rsidRDefault="00D72BF3" w:rsidP="00D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CE16E6" w:rsidRPr="00396FC2" w:rsidRDefault="00CE16E6" w:rsidP="00CE16E6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A356A1">
          <w:rPr>
            <w:rFonts w:ascii="Garamond" w:hAnsi="Garamond"/>
            <w:noProof/>
          </w:rPr>
          <w:t>7</w:t>
        </w:r>
        <w:r w:rsidRPr="00396FC2">
          <w:rPr>
            <w:rFonts w:ascii="Garamond" w:hAnsi="Garamond"/>
          </w:rPr>
          <w:fldChar w:fldCharType="end"/>
        </w:r>
      </w:p>
      <w:p w:rsidR="00CE16E6" w:rsidRDefault="00CE16E6" w:rsidP="00CE16E6">
        <w:pPr>
          <w:pStyle w:val="Stopka"/>
          <w:rPr>
            <w:rFonts w:ascii="Garamond" w:hAnsi="Garamond"/>
            <w:i/>
            <w:iCs/>
          </w:rPr>
        </w:pPr>
      </w:p>
      <w:p w:rsidR="00CE16E6" w:rsidRPr="0097462E" w:rsidRDefault="00CE16E6" w:rsidP="00CE16E6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CE16E6" w:rsidRDefault="00D72BF3" w:rsidP="00CE16E6">
        <w:pPr>
          <w:pStyle w:val="Stopka"/>
          <w:jc w:val="right"/>
        </w:pPr>
      </w:p>
    </w:sdtContent>
  </w:sdt>
  <w:p w:rsidR="00CE16E6" w:rsidRDefault="00CE1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BF3" w:rsidRDefault="00D72BF3" w:rsidP="00D728A4">
      <w:pPr>
        <w:spacing w:after="0" w:line="240" w:lineRule="auto"/>
      </w:pPr>
      <w:r>
        <w:separator/>
      </w:r>
    </w:p>
  </w:footnote>
  <w:footnote w:type="continuationSeparator" w:id="0">
    <w:p w:rsidR="00D72BF3" w:rsidRDefault="00D72BF3" w:rsidP="00D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A4" w:rsidRDefault="006D363D">
    <w:pPr>
      <w:pStyle w:val="Nagwek"/>
    </w:pPr>
    <w:r>
      <w:rPr>
        <w:noProof/>
        <w:lang w:eastAsia="pl-PL"/>
      </w:rPr>
      <w:drawing>
        <wp:inline distT="0" distB="0" distL="0" distR="0" wp14:anchorId="0D9DD194" wp14:editId="7A7DC83E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FFC" w:rsidRDefault="00CB0FFC" w:rsidP="00CB0FFC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 w:rsidRPr="00782525">
      <w:rPr>
        <w:rFonts w:ascii="Garamond" w:hAnsi="Garamond"/>
        <w:sz w:val="22"/>
        <w:szCs w:val="22"/>
      </w:rPr>
      <w:t>NSSU.DFP.271.2.2018</w:t>
    </w:r>
    <w:r w:rsidR="00F21499" w:rsidRPr="00782525">
      <w:rPr>
        <w:rFonts w:ascii="Garamond" w:hAnsi="Garamond"/>
        <w:sz w:val="22"/>
        <w:szCs w:val="22"/>
      </w:rPr>
      <w:t>.BM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>Załącznik nr 1a do specyfikacji</w:t>
    </w:r>
  </w:p>
  <w:p w:rsidR="00CB0FFC" w:rsidRPr="00321A48" w:rsidRDefault="00CB0FFC" w:rsidP="00CB0FFC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CB0FFC" w:rsidRDefault="00CB0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8A5868"/>
    <w:multiLevelType w:val="hybridMultilevel"/>
    <w:tmpl w:val="A584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" w15:restartNumberingAfterBreak="0">
    <w:nsid w:val="624F4465"/>
    <w:multiLevelType w:val="hybridMultilevel"/>
    <w:tmpl w:val="404AC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C"/>
    <w:rsid w:val="000402C4"/>
    <w:rsid w:val="0008400D"/>
    <w:rsid w:val="000B2327"/>
    <w:rsid w:val="000D3C07"/>
    <w:rsid w:val="001D04CD"/>
    <w:rsid w:val="00211C08"/>
    <w:rsid w:val="00283E91"/>
    <w:rsid w:val="002C4398"/>
    <w:rsid w:val="002E5E9C"/>
    <w:rsid w:val="003564E4"/>
    <w:rsid w:val="003A2DF2"/>
    <w:rsid w:val="003B5BBC"/>
    <w:rsid w:val="003C44B5"/>
    <w:rsid w:val="003E6B6E"/>
    <w:rsid w:val="004269FB"/>
    <w:rsid w:val="00446118"/>
    <w:rsid w:val="005246A6"/>
    <w:rsid w:val="00551947"/>
    <w:rsid w:val="00556040"/>
    <w:rsid w:val="005809EC"/>
    <w:rsid w:val="0059685D"/>
    <w:rsid w:val="006378DD"/>
    <w:rsid w:val="00675F60"/>
    <w:rsid w:val="00682DD0"/>
    <w:rsid w:val="006C18F4"/>
    <w:rsid w:val="006D363D"/>
    <w:rsid w:val="006D790B"/>
    <w:rsid w:val="00701F7F"/>
    <w:rsid w:val="00736339"/>
    <w:rsid w:val="007431CF"/>
    <w:rsid w:val="00782525"/>
    <w:rsid w:val="007D74A3"/>
    <w:rsid w:val="008E254D"/>
    <w:rsid w:val="00967FF3"/>
    <w:rsid w:val="009854EA"/>
    <w:rsid w:val="009A5449"/>
    <w:rsid w:val="009B3019"/>
    <w:rsid w:val="009B3B5D"/>
    <w:rsid w:val="00A356A1"/>
    <w:rsid w:val="00A52A4E"/>
    <w:rsid w:val="00A54DED"/>
    <w:rsid w:val="00AB7D8C"/>
    <w:rsid w:val="00AC3DB4"/>
    <w:rsid w:val="00BE4FF0"/>
    <w:rsid w:val="00C17F24"/>
    <w:rsid w:val="00C272E3"/>
    <w:rsid w:val="00CB00C7"/>
    <w:rsid w:val="00CB0FFC"/>
    <w:rsid w:val="00CE16E6"/>
    <w:rsid w:val="00CE34A2"/>
    <w:rsid w:val="00D56B62"/>
    <w:rsid w:val="00D728A4"/>
    <w:rsid w:val="00D72BF3"/>
    <w:rsid w:val="00EB52D7"/>
    <w:rsid w:val="00F21499"/>
    <w:rsid w:val="00F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1D20-D6F7-4EAD-A290-5DC04BF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544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44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44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44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A544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8A4"/>
  </w:style>
  <w:style w:type="paragraph" w:styleId="Stopka">
    <w:name w:val="footer"/>
    <w:basedOn w:val="Normalny"/>
    <w:link w:val="Stopka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8A4"/>
  </w:style>
  <w:style w:type="character" w:customStyle="1" w:styleId="Nagwek1Znak">
    <w:name w:val="Nagłówek 1 Znak"/>
    <w:basedOn w:val="Domylnaczcionkaakapitu"/>
    <w:link w:val="Nagwek1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44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44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544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9A54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A544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9A54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A54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a-kontynuacja24">
    <w:name w:val="Lista - kontynuacja 24"/>
    <w:basedOn w:val="Normalny"/>
    <w:rsid w:val="009A544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9A5449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9A5449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9A5449"/>
    <w:pPr>
      <w:numPr>
        <w:numId w:val="4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9A5449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4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5449"/>
    <w:rPr>
      <w:rFonts w:eastAsiaTheme="minorEastAsia"/>
      <w:color w:val="5A5A5A" w:themeColor="text1" w:themeTint="A5"/>
      <w:spacing w:val="15"/>
    </w:rPr>
  </w:style>
  <w:style w:type="paragraph" w:customStyle="1" w:styleId="Style">
    <w:name w:val="Style"/>
    <w:basedOn w:val="Normalny"/>
    <w:next w:val="Nagwek"/>
    <w:rsid w:val="00CB0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15</Pages>
  <Words>2763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41</cp:revision>
  <cp:lastPrinted>2018-02-26T08:47:00Z</cp:lastPrinted>
  <dcterms:created xsi:type="dcterms:W3CDTF">2018-01-26T08:40:00Z</dcterms:created>
  <dcterms:modified xsi:type="dcterms:W3CDTF">2018-03-21T13:47:00Z</dcterms:modified>
</cp:coreProperties>
</file>