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99" w:rsidRPr="000A2BFE" w:rsidRDefault="00CC7799" w:rsidP="00812580">
      <w:pPr>
        <w:pStyle w:val="Tytu"/>
        <w:rPr>
          <w:sz w:val="20"/>
          <w:szCs w:val="20"/>
        </w:rPr>
      </w:pPr>
      <w:r w:rsidRPr="000A2BFE">
        <w:rPr>
          <w:sz w:val="20"/>
          <w:szCs w:val="20"/>
        </w:rPr>
        <w:t>OPIS PRZEDMIOTU ZAMÓWIENIA</w:t>
      </w:r>
    </w:p>
    <w:p w:rsidR="00C95E77" w:rsidRPr="000A2BFE" w:rsidRDefault="00C95E77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</w:p>
    <w:p w:rsidR="00CC7799" w:rsidRPr="000A2BFE" w:rsidRDefault="00CC7799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0A2BFE">
        <w:rPr>
          <w:rFonts w:ascii="Garamond" w:hAnsi="Garamond"/>
          <w:b/>
          <w:u w:val="single"/>
        </w:rPr>
        <w:t>aparat do znieczulenia ogólnego – 4 szt.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Uwagi i objaśnienia: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0A2BFE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C7799" w:rsidRPr="000A2BFE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C7799" w:rsidRPr="000A2BFE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Wykonawca zobowiązany jest do podania parametrów w jednostkach wskazanych w niniejszym opisie.</w:t>
      </w:r>
    </w:p>
    <w:p w:rsidR="00CC7799" w:rsidRPr="000A2BFE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Rok produkcji (min. 2017): …..............</w:t>
      </w:r>
    </w:p>
    <w:p w:rsidR="00CC7799" w:rsidRPr="000A2BFE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0A2BFE" w:rsidRDefault="00CC7799" w:rsidP="00812580">
      <w:pPr>
        <w:pStyle w:val="Standard"/>
        <w:rPr>
          <w:rFonts w:ascii="Garamond" w:hAnsi="Garamond"/>
          <w:sz w:val="20"/>
          <w:szCs w:val="20"/>
        </w:rPr>
      </w:pPr>
      <w:r w:rsidRPr="000A2BFE">
        <w:rPr>
          <w:rFonts w:ascii="Garamond" w:hAnsi="Garamond"/>
          <w:sz w:val="20"/>
          <w:szCs w:val="20"/>
        </w:rPr>
        <w:t>Klasa wyrobu medycznego: ..................</w:t>
      </w:r>
    </w:p>
    <w:p w:rsidR="00812580" w:rsidRPr="000A2BFE" w:rsidRDefault="00812580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Pr="000A2BFE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0A2BFE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66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548"/>
        <w:gridCol w:w="5775"/>
        <w:gridCol w:w="4651"/>
        <w:gridCol w:w="4647"/>
      </w:tblGrid>
      <w:tr w:rsidR="00812580" w:rsidRPr="000A2BFE" w:rsidTr="00092C6D">
        <w:trPr>
          <w:gridAfter w:val="1"/>
          <w:wAfter w:w="1249" w:type="pct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580" w:rsidRPr="000A2BFE" w:rsidRDefault="00812580" w:rsidP="002C6476">
            <w:pPr>
              <w:pStyle w:val="Standard"/>
              <w:snapToGrid w:val="0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lastRenderedPageBreak/>
              <w:t>Przedmiot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t>Liczba sztuk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t>Cena jednostkowa aparatu brutto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t>A: Cena brutto aparatów</w:t>
            </w:r>
          </w:p>
        </w:tc>
      </w:tr>
      <w:tr w:rsidR="00812580" w:rsidRPr="000A2BFE" w:rsidTr="00092C6D">
        <w:trPr>
          <w:gridAfter w:val="1"/>
          <w:wAfter w:w="1249" w:type="pct"/>
          <w:trHeight w:val="52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0A2BFE" w:rsidRDefault="00812580" w:rsidP="002C6476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0A2BFE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Aparat do znieczulenia ogólnego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0A2BFE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812580" w:rsidRPr="000A2BFE" w:rsidTr="00092C6D">
        <w:trPr>
          <w:gridBefore w:val="2"/>
          <w:gridAfter w:val="1"/>
          <w:wBefore w:w="949" w:type="pct"/>
          <w:wAfter w:w="1250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0A2BFE" w:rsidRDefault="00812580" w:rsidP="002C6476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2C6476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0A2BFE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B: Cena brutto dostawy, instalacji, uruchomienia, szkolenia:</w:t>
            </w:r>
          </w:p>
        </w:tc>
      </w:tr>
      <w:tr w:rsidR="00812580" w:rsidRPr="000A2BFE" w:rsidTr="00092C6D">
        <w:trPr>
          <w:gridBefore w:val="2"/>
          <w:wBefore w:w="949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0A2BFE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812580" w:rsidRPr="000A2BFE" w:rsidRDefault="00812580" w:rsidP="00812580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A4E80" w:rsidRPr="000A2BFE" w:rsidRDefault="009A4E80">
      <w:pPr>
        <w:rPr>
          <w:rFonts w:ascii="Garamond" w:hAnsi="Garamond"/>
          <w:sz w:val="18"/>
          <w:szCs w:val="18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4"/>
        <w:gridCol w:w="4649"/>
      </w:tblGrid>
      <w:tr w:rsidR="00812580" w:rsidRPr="000A2BFE" w:rsidTr="009A4E80">
        <w:trPr>
          <w:trHeight w:val="527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0A2BFE" w:rsidRDefault="00812580" w:rsidP="00812580">
            <w:pPr>
              <w:pStyle w:val="Skrconyadreszwrotny"/>
              <w:snapToGrid w:val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sz w:val="18"/>
                <w:szCs w:val="18"/>
              </w:rPr>
              <w:t>A+ B: Cena brutto oferty</w:t>
            </w:r>
            <w:r w:rsidR="004A2FE6" w:rsidRPr="000A2BFE">
              <w:rPr>
                <w:rFonts w:ascii="Garamond" w:hAnsi="Garamond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0A2BFE" w:rsidRDefault="00812580" w:rsidP="00812580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:rsidR="00CC7799" w:rsidRPr="000A2BFE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0A2BFE" w:rsidRDefault="00CC7799" w:rsidP="00CC7799">
      <w:pPr>
        <w:rPr>
          <w:rFonts w:ascii="Garamond" w:hAnsi="Garamond"/>
          <w:b/>
          <w:sz w:val="18"/>
          <w:szCs w:val="18"/>
        </w:rPr>
      </w:pPr>
      <w:r w:rsidRPr="000A2BFE">
        <w:rPr>
          <w:rFonts w:ascii="Garamond" w:hAnsi="Garamond"/>
          <w:b/>
          <w:sz w:val="18"/>
          <w:szCs w:val="18"/>
        </w:rPr>
        <w:t xml:space="preserve">Parametry techniczne i eksploatacyjne </w:t>
      </w:r>
    </w:p>
    <w:tbl>
      <w:tblPr>
        <w:tblW w:w="1304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2410"/>
      </w:tblGrid>
      <w:tr w:rsidR="00CC7799" w:rsidRPr="000A2BFE" w:rsidTr="002C6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9" w:rsidRPr="000A2BFE" w:rsidRDefault="00CC7799" w:rsidP="002C647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yellow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Zasady oceny (punktacji)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Aparat do znieczulania ogólnego, jezdny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Wymiary zewnętrzne (wysokość x szerokość x głębokość) [cm]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Masa (kg)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Zasilanie dostosowane do  230 [V], 50 [Hz]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Aparat wyposażony m. in. w blat do pisania, uchwyt do zapasowej butli tlenowej  i min. 1 szufladę na akcesoria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Wbudowane fabrycznie gniazda elektryczne 230 [V] (minimum 3 gniazda) umieszczone z tyłu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Indywidualne, automatyczne, bezpieczniki gniazd elektrycznych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0A2BFE" w:rsidRDefault="00CC7799" w:rsidP="002C6476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Zasilanie gazowe (N2O, O2, powietrze) z sieci  centralnej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Możliwość awaryjnego zasilania gazowego z butli O2[l]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min. 5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Uchwyt na 2 butle o pojemności 10 [l]: tlenową i podtlenku azotu umieszczony na tylnej ścianie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Awaryjne zasilanie elektryczne aparatu na min. </w:t>
            </w: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br/>
              <w:t>60 minut w warunkach standardowych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Reduktory do butli O2 ze złączami, wyposażone </w:t>
            </w:r>
            <w:r w:rsidRPr="000A2BFE">
              <w:rPr>
                <w:rFonts w:ascii="Garamond" w:hAnsi="Garamond" w:cs="Arial"/>
                <w:sz w:val="18"/>
                <w:szCs w:val="18"/>
              </w:rPr>
              <w:br/>
              <w:t>w przyłącze do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Prezentacja ciśnień gazów zasilających na ekranie respiratora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Ssak iniektorowy z regulacją siły ssania i zbiornikiem na wydzieliny o pojemności  min. 0, 7 [l] oraz minimum jednym zapasowym wymiennym zbiornikiem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Aktywne miejsce w układzie dla parownika (klasycznego lub elektronicznego)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System uniemożliwiający jednoczesną podaż dwóch środków wziewnych jednocześnie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SYSTEM DYSTRYBUCJI GAZÓW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Precyzyjne, elektroniczne lub rotametryczne przepływomierze dla tlenu, podtlenku azotu i powietrza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Elektroniczne – 5 pkt. Rotametryczne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Wyświetlanie przepływu gazów przy pomocy wirtualnych przepływomierzy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Zintegrowany (lub wbudowany) zapasowy awaryjny mechaniczny przepływomierz  tlenowy z przepływem tlenu minimum 10 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System automatycznego utrzymywania stężenia tlenu w mieszaninie z podtlenkiem azotu na poziomie min. 25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Mieszalnik świeżych gazów zapewniający stałe stężenie tlenu przy zmianie wielkości przepływu świeżych gazów; mieszalnik sterowany elektronicznie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Przepływomierze umożliwiające podaż gazów </w:t>
            </w:r>
            <w:r w:rsidRPr="000A2BFE">
              <w:rPr>
                <w:rFonts w:ascii="Garamond" w:hAnsi="Garamond" w:cs="Arial"/>
                <w:sz w:val="18"/>
                <w:szCs w:val="18"/>
              </w:rPr>
              <w:br/>
              <w:t xml:space="preserve">w systemie anestezji z niskimi i minimalnymi przepływami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UKŁAD ODDECHOWY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Kompaktowy układ oddechowy okrężny do wentylacji dorosłych i dzieci o niskiej podatności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Układ oddechowy o prostej budowie, łatwy do wymiany i sterylizacji, pozbawiony lateksu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Układ kompaktowy, wbudowany,  nie wystający poza rzut podstawy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Układ przystosowany do prowadzenia znieczulenia </w:t>
            </w:r>
            <w:r w:rsidRPr="000A2BFE">
              <w:rPr>
                <w:rFonts w:ascii="Garamond" w:hAnsi="Garamond" w:cs="Arial"/>
                <w:sz w:val="18"/>
                <w:szCs w:val="18"/>
              </w:rPr>
              <w:br/>
              <w:t>w systemach półotwartym i półzamkniętym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Obejście tlenowe o dużej wydajności[l/min]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35 [l/min/] i więcej – 2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niższe wartości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Wielorazowy pochłaniacz dwutlenku węgla o obudowie przeziernej i pojemności max. 1,5 [l] (możliwość stosowania pochłaniaczy wielorazowych i jednorazowych)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Możliwość zmiany podczas  znieczulenia bez rozszczelniania układu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Eliminacja gazów poanestetycznych poza salę operacyjną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RESPIRATOR ANESTETYCZNY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Tryby wentylacji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Możliwość prowadzenia wentylacji ręcznej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Tryb wentylacji ciśnieniowo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Tryb wentylacji objętościowo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SIMV – synchronizowana przerywana wentylacja wymuszona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SIMV/PS – wentylacja synchronizowana ze wspomaganiem ciśnieniowym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Precyzyjny wyzwalacz przepływowy z precyzyjną regulacją czułości                             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Tryb wentylacji PSV z zabezpieczeniem na wypadek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Automatyczne przełączenie na wentylację mechaniczną po wykryciu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Tryb wentylacji z docelową lub gwarantowaną objętością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Awaryjny, mechaniczny tryb wentylacji po zaniku dopływu świeżych gazów z sieci centralnej i butli rezerwowych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Podawanie (na żądanie) dodatkowego jednego oddechu pod określonym ciśnieniem i przez określony czas – bez wykonywania zmian w ustawieniach respiratora – wentylacja mechaniczna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możliwość włączenia wielostopniowej funkcji rekrutacji pęcherzyków płucnych w trybie wentylacji mechanicznej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Zakres PEEP - min. od 4 [cm H2O] do 20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Regulacje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Regulacja stosunku wdechu do wydechu – minimum </w:t>
            </w:r>
            <w:r w:rsidRPr="000A2BFE">
              <w:rPr>
                <w:rFonts w:ascii="Garamond" w:hAnsi="Garamond" w:cs="Arial"/>
                <w:sz w:val="18"/>
                <w:szCs w:val="18"/>
              </w:rPr>
              <w:br/>
              <w:t>2 : 1 do 1 :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Regulacja częstości oddechu - minimum od 4 do 80 [odd/min] (wentylacja objętościowa i ciśnieniowa)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Zakres objętości oddechowej - minimum od 20 do 1400 [ml]; (wentylacja objętościowa)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Regulacja ciśnienia wdechu przy PCV - minimum: od 5 do 60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Regulowana płynnie lub skokowo pauza wdechowa w zakresie minimum 5-50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Alarmy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Niskiej pojemności minutowej MV i / lub oddechowej TV z regulowanymi progami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MV i TV – 2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tylko MV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Alarm minimalnego i maksymalnego ciśnienia wdechowego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Alarm braku zasilania w energię elektryczną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Alarm braku zasilania w gazy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Alarm Apnea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Inne wyżej nie wymienione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 alarmy lub więcej – 2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mniejsza liczba – 1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brak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POMIAR I OBRAZOWANIE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Stężenie tlenu w gazach oddechowych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objętości oddechowej TV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pojemności minutowej MV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częstotliwości oddechowej f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Ciśnienia szczytowego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Ciśnienia Plateau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Ciśnienia średniego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Ciśnienia PEEP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Częstość oddychania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manometr pomiaru ciśnienia w drogach oddechowych wyświetlany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Elektroniczny – 2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mechaniczny – 1 pkt.,</w:t>
            </w:r>
          </w:p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brak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Stężenie wdechowe i wydechowe tlenu w gazach oddechowych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Pomiar stężenia środków anestetycznych dla mieszaniny wdechowej i wydechowej dla: podtlenku azotu, izofluranu, sevofluranu, desfluranu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>Automatyczna identyfikacja anestetyku wziewnego i pomiar MAC w aparacie do znieczulania  z uwzględnieniem wieku pacjenta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ab/>
            </w: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i obrazowanie spirometrii co najmniej: krzywa ciśnienia, krzywa objętości, pętla ciśnienie – objętość.</w:t>
            </w:r>
          </w:p>
          <w:p w:rsidR="00CC7799" w:rsidRPr="000A2BFE" w:rsidRDefault="00CC7799" w:rsidP="002C6476">
            <w:pPr>
              <w:snapToGrid w:val="0"/>
              <w:spacing w:line="360" w:lineRule="auto"/>
              <w:ind w:left="229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ab/>
            </w: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z wyświetlaniem podatności i oporu dróg oddechowych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PREZENTACJA 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>Ekran kolorowy do prezentacji parametrów znieczulenia i krzywych o przekątnej minimum 12 [”] oraz rozdzielczości minimum 800x600 [pikseli]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after="60" w:line="36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0A2BFE">
              <w:rPr>
                <w:rFonts w:ascii="Garamond" w:hAnsi="Garamond" w:cs="Arial"/>
                <w:sz w:val="18"/>
                <w:szCs w:val="18"/>
                <w:u w:val="single"/>
              </w:rPr>
              <w:t>Oddzielna punktacja za:</w:t>
            </w:r>
          </w:p>
          <w:p w:rsidR="00CC7799" w:rsidRPr="000A2BFE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przekątną:</w:t>
            </w:r>
          </w:p>
          <w:p w:rsidR="00CC7799" w:rsidRPr="000A2BFE" w:rsidRDefault="00CC7799" w:rsidP="002C6476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przekątna 15 [”] lub większa – 3 pkt.,</w:t>
            </w:r>
          </w:p>
          <w:p w:rsidR="00CC7799" w:rsidRPr="000A2BFE" w:rsidRDefault="00CC7799" w:rsidP="002C6476">
            <w:pPr>
              <w:spacing w:after="120" w:line="360" w:lineRule="auto"/>
              <w:ind w:left="369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mniejsze przekątne – 1 pkt.</w:t>
            </w:r>
          </w:p>
          <w:p w:rsidR="00CC7799" w:rsidRPr="000A2BFE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rozdzielczość:</w:t>
            </w:r>
          </w:p>
          <w:p w:rsidR="00CC7799" w:rsidRPr="000A2BFE" w:rsidRDefault="00CC7799" w:rsidP="002C6476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rozdzielczość wymagana – 1 pkt.,</w:t>
            </w:r>
          </w:p>
          <w:p w:rsidR="00CC7799" w:rsidRPr="000A2BFE" w:rsidRDefault="00CC7799" w:rsidP="002C6476">
            <w:pPr>
              <w:snapToGrid w:val="0"/>
              <w:spacing w:before="40" w:after="40"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wyższa niż wymagana – 3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>Ekran wentylacji pojedynczy na ruchomym wysięgniku lub wbudowany w przednią ścianę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>Sposób sterowania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Ekran dotykowy – 2 pkt.,</w:t>
            </w:r>
          </w:p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inne rozwiązania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Prezentacja prężności dwutlenku węgla, CO2 w strumieniu wdechowym i wydechowym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koncentracji anestetyku wziewnego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ciśnienia w drogach oddechowych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>Prezentacja trendów parametrów mierzonych [godz.]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min. 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10 [godz.] i więcej – 2 pkt.,</w:t>
            </w:r>
          </w:p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mniej niż 10 [godz.]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Funkcja optymalnego doboru przepływu świeżych gazów, np. w technice Low Flow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0A2BFE" w:rsidRDefault="00CC7799" w:rsidP="002C6476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INNE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Parowniki do sevofluranu i izofluranu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pacing w:line="360" w:lineRule="auto"/>
              <w:rPr>
                <w:rFonts w:ascii="Garamond" w:hAnsi="Garamond" w:cs="Arial"/>
                <w:kern w:val="2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kern w:val="20"/>
                <w:sz w:val="18"/>
                <w:szCs w:val="18"/>
              </w:rPr>
              <w:t>Klasyczne – 2 pkt.,</w:t>
            </w:r>
          </w:p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kern w:val="20"/>
                <w:sz w:val="18"/>
                <w:szCs w:val="18"/>
              </w:rPr>
              <w:t>elektroniczne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Komunikacja z aparatem w języku polskim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0A2BFE" w:rsidRDefault="00CC7799" w:rsidP="002C6476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Aparaty do znieczulenia ogólnego oraz kardiomonitory funkcji życiowych– jednego producenta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0A2BFE" w:rsidRDefault="00CC7799" w:rsidP="002C6476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 xml:space="preserve">KARDIOMONITOR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Kardiomonitor modułowy min. 15 [‘] (działający w systemie wymiennych modułów pomiarowych) dedykowany do zastosowań w obszarze intensywnej terapii i bloku operacyjnego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Wszystkie moduły przenoszone między monitorami </w:t>
            </w:r>
            <w:r w:rsidRPr="000A2BFE">
              <w:rPr>
                <w:rFonts w:ascii="Garamond" w:hAnsi="Garamond" w:cs="Arial"/>
                <w:sz w:val="18"/>
                <w:szCs w:val="18"/>
              </w:rPr>
              <w:br/>
              <w:t>w sposób zapewniający automatyczną zmianę konfiguracji ekranu, uwzględniającą pojawienie się odpowiednich parametrów, bez zakłócania pracy monitora.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Sterowanie funkcjami pomiarowymi dla wszystkich wymaganych parametrów – bezpośrednio z ekranu zaoferowanego monitora </w:t>
            </w:r>
          </w:p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="Arial"/>
                <w:i/>
                <w:sz w:val="18"/>
                <w:szCs w:val="18"/>
              </w:rPr>
              <w:t xml:space="preserve">nie dotyczy pomiarów dopuszczonych </w:t>
            </w:r>
            <w:r w:rsidRPr="000A2BFE">
              <w:rPr>
                <w:rFonts w:ascii="Garamond" w:hAnsi="Garamond" w:cs="Arial"/>
                <w:i/>
                <w:sz w:val="18"/>
                <w:szCs w:val="18"/>
              </w:rPr>
              <w:br/>
              <w:t>w formie urządzeń zewnętrznych</w:t>
            </w:r>
            <w:r w:rsidRPr="000A2BFE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 zestawie do każdego monitora uchwyt montażowy umożliwiający regulację położenia monitora w płaszczyźnie pionowej i poziomej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Monitor przystosowany do dezynfekcji i odkażania. </w:t>
            </w:r>
          </w:p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="Arial"/>
                <w:i/>
                <w:sz w:val="18"/>
                <w:szCs w:val="18"/>
              </w:rPr>
              <w:t>Podać środki dezynfekcyjne (min. 2 – nazwy i producenci) dopuszczone do stosowania przez producenta urządzenia.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Kompatybilność modułów pomiarowych dla wszystkich oferowanych kardiomonitorów (dotyczy modułów pomiarowych dla min.: EKG, inwazyjny i nieinwazyjny pomiar ciśnienia krwi, saturacja, temperatura, kapnografia)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Wszystkie akcesoria pomiarowe kompatybilne ze wszystkimi oferowanymi monitorami oraz z elementem/modułem transportowym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Możliwość jednoczesnego monitorowania co najmniej następujących </w:t>
            </w:r>
          </w:p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EKG (3/7/12 odprowadzeń)/ST/Arytmia,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oddech,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saturacja krwi SpO2,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ciśnienie krwi metodą nieinwazyjną,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temperatura (dwa tory pomiarowe),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ciśnienie metodą inwazyjną (przynajmniej 2 tory pomiarowe),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głębokość uśpienia BIS lub entropia,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pomiar transmisji nerwowo-mięśniowej NMT,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ciągły rzut minutowy serca,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Oprogramowanie i pomiary kardiomonitora dostosowane do różnych kategorii wiekowych pacjentów (dziecko/dorosły)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Monitor  wyposażony w maksymalnie jeden ekran typu TFT: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przekątna ekranu min. 15["], </w:t>
            </w:r>
          </w:p>
          <w:p w:rsidR="00CC7799" w:rsidRPr="000A2BFE" w:rsidRDefault="00CC7799" w:rsidP="00CC7799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rozdzielczość min. 1024x768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Komunikacja monitora z użytkownikiem w języku polskim, obsługa i sterowanie monitorem poprzez ekran dotykowy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after="12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Kardiomonitory wyposażone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w element/moduł transportowy</w:t>
            </w:r>
            <w:r w:rsidRPr="000A2BFE">
              <w:rPr>
                <w:rFonts w:ascii="Garamond" w:hAnsi="Garamond"/>
                <w:b/>
                <w:color w:val="00000A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zabierany z pacjentem na czas transportu, zapewniający ciągłość monitorowania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(bez jakichkolwiek przerw)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przynajmniej podstawowych parametrów (EKG, Oddech, NIBP, IBP, SpO2, temperatura), o masie wraz z akumulatorem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nieprzekraczającej 5 [kg].</w:t>
            </w:r>
          </w:p>
          <w:p w:rsidR="00CC7799" w:rsidRPr="000A2BFE" w:rsidRDefault="00CC7799" w:rsidP="002C6476">
            <w:pPr>
              <w:pStyle w:val="Default"/>
              <w:spacing w:after="120"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Zasilanie akumulatorowe elementu/modułu transportowego min. 3 [godz.].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Element/moduł transportowy chłodzony konwekcyjne, bez użycia wentylatora.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Co najmniej 5 niezależnych konfiguracji ekranu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z możliwością łatwego ich przełączania bez utraty danych pacjenta.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Poszczególne konfiguracje programowane przez użytkownika, bez konieczności wzywania autoryzowanego serwisu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Pamięć różnych zestawów konfiguracji ekranu i innych funkcji monitora z łatwym przełączaniem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oraz możliwość ich modyfikacji w trakcie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Minimum 6 różnych krzywych dynamicznych wyświetlanych na ekranie jednocześnie (bez użycia funkcji 12 odprowadzeń EKG)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Oprogramowanie umożliwiające tworzenie raportów z przebiegu monitorowania – drukowanie na centralnej drukarce oraz na sieciowej drukarce laserowej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Monitor dostosowany do pracy w systemie centralnego monitorowania, wyposażony w kartę sieciową do połączenia ze stacją centralnego monitorowania i innymi monitorami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Monitor posiadający możliwość jednoczesnego podłączenia co najmniej 3 zewnętrznych urządzeń medycznych z grupy: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lastRenderedPageBreak/>
              <w:t>respirator lub aparat do znieczulania (sale operacyjne),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pompa infuzyjna,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0"/>
              </w:numPr>
              <w:spacing w:after="60"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monitor hemodynamiczny (ciągłego rzutu minutowego serca).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i/>
                <w:color w:val="auto"/>
                <w:sz w:val="18"/>
                <w:szCs w:val="18"/>
              </w:rPr>
              <w:t>podłączenie musi umożliwiać odczyt danych pomiarowych z urządzeń zewnętrznych na ekranie monitora oraz  przesyłanie ich do stacji centralnego monitorowania i systemów szpitalnych poprzez protokół HL7.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after="60"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szpitalnego systemu bazy danych z komputerową historią choroby pacjenta.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i/>
                <w:color w:val="00000A"/>
                <w:sz w:val="18"/>
                <w:szCs w:val="18"/>
              </w:rPr>
              <w:t xml:space="preserve">możliwość dostępu oznacza podgląd </w:t>
            </w:r>
            <w:r w:rsidRPr="000A2BFE">
              <w:rPr>
                <w:rFonts w:ascii="Garamond" w:hAnsi="Garamond"/>
                <w:i/>
                <w:color w:val="00000A"/>
                <w:sz w:val="18"/>
                <w:szCs w:val="18"/>
              </w:rPr>
              <w:br/>
              <w:t>i dokonywanie wpisów, zleceń, itp. danych.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 z możliwością  rozbudowy o dostęp do udostępnianych w sieci informacji z systemu HIS – Hospital Information System za pośrednictwem standardowego interfejsu HL7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obrazów radiologicznych i innych z diagnostyki obrazowej udostępnianych w sieci Intranet przez szpital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Komunikacja pomiędzy monitorami – w postaci co najmniej podglądu danych i sygnalizacji alarmów występujących w innych monitorach znajdujących się w sieci monitorowania.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Trendy wszystkich monitorowanych parametrów w postaci cyfrowej i graficznej z ostatnich minimum 24 [godz.]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Możliwość wyświetlania trendów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w zaprogramowanych grupach.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Historia alarmów  - min. 50 przypadków wraz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z min. 4 krzywymi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Czasowe wyciszenie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Automatyczne ustawianie granic alarmowych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w monitorze w stosunku do aktualnych pomiarów pacjenta. </w:t>
            </w:r>
          </w:p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Ręczne ustawianie granic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sz w:val="18"/>
                <w:szCs w:val="18"/>
              </w:rPr>
              <w:t>Pomiar EKG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Monitorowanie 12 odprowadzeń EKG – wyświetlanie od 1 do 12 odprowadzeń jednocześnie – programowane przez użytkownika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Wieloodprowadzeniowa analiza EKG do zliczania częstości akcji serca i do analizy arytmii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Minimum 2 odprowadzenia analizowane jednocześnie, z możliwością używania tylko 1-go odprowadzenia do analizy.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Klasyfikacja minimum 12 rodzajów zaburzeń rytmu wraz z alarmami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Wartość wymagana – 1 pkt.,</w:t>
            </w:r>
          </w:p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wyższa niż wymagana – 2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Pomiaru pulsu z sygnału EKG [1/min]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20 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Analiza odcinka ST z wszystkich 12-tu odprowadzeń (w przypadku monitorowania 12-tu odprowadzeń)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z prezentacją w czasie rzeczywistym (krzywe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i wartości odcinka ST)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Monitorowanie ST – z każdego monitorowanego odprowadzenia[mm]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-10,0 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+10,0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W komplecie dla każdego monitora wielorazowy przewód EKG 3 odprowadzeniowy oraz wielorazowy przewód do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lastRenderedPageBreak/>
              <w:t xml:space="preserve">monitorowania 12 odprowadzeń EKG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br/>
              <w:t>(5- lub 6- lub 12-elektrodowy)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częstości oddechu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częstości oddechu metodą impedancyjną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Wyświetlane wartości cyfrowe i fala oddechu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Minimalny zakres pomiarowy [odd./min]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>od 1 do 150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Dokładność pomiaru w zakresie min. od 1 do 120 [odd./min] nie gorsza niż +/-1 oddech lub 2% pomiaru (w zależności od tego, która dokładność jest lepsza)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Algorytm pomiarowy odporny na niską perfuzję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i artefakty ruchowe oparty na technologiach: Masimo lub Nellcor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Technologia Nellcor – 2 pkt.,</w:t>
            </w:r>
          </w:p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Technologia Masimo – 1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Wyświetlane wartości cyfrowe saturacji tętna i krzywa pletyzmograficzna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Alarm desaturacji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Możliwość podłączenia drugiego modułu do pomiaru 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 komplecie dla każdego monitora wielorazowy czujnik pomiarowy na palec oraz 10 [szt.] wielorazowych czujników na ucho na wszystkie stanowiska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Pomiar na żądanie, automatyczny co określony czas, ciągłe pomiary przez określony czas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Z funkcją stazy żylnej – 1 pkt.,</w:t>
            </w:r>
          </w:p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brak stazy żylnej – 0 pkt.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Zakres odstępów czasowych automatycznych pomiarów przynajmniej w zakresie 1 [minuta] – 4 [godziny]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W komplecie do każdego monitora przewód i zestaw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br/>
              <w:t xml:space="preserve">4 wielorazowych mankietów dla dorosłych: 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1 x mały, 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2 x standard, </w:t>
            </w:r>
          </w:p>
          <w:p w:rsidR="00CC7799" w:rsidRPr="000A2BFE" w:rsidRDefault="00CC7799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1 x duży.</w:t>
            </w:r>
          </w:p>
          <w:p w:rsidR="00CC7799" w:rsidRPr="000A2BFE" w:rsidRDefault="00CC7799" w:rsidP="002C6476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i/>
                <w:color w:val="auto"/>
                <w:sz w:val="18"/>
                <w:szCs w:val="18"/>
              </w:rPr>
              <w:t>mankiety pomiarowe wolne od lateksu.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Zakres pomiarowy [°C]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>min.: 0 – 45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Min. 2 tory pomiarowe temperatury – w komplecie do każdego monitora czujnik do pomiaru temperatury powierzchniowej i centralnej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Zakres pomiarowy ciśnienia minimum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min. </w:t>
            </w:r>
          </w:p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od –40 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Minimum 2 tory pomiarowe IBP z możliwością rozbudowy do 4 torów w kardiomonitorach na sale operacyjne i OIT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Minimum 1 tor pomiarowy IBP w kardiomonitorach na OIOK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Każdy monitor wyposażony w 1 kabel IBP na każdy zaoferowany kanał pomiarowy oraz zestaw 20 [szt.] przetworników jednorazowych do pomiaru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  <w:t xml:space="preserve">Ciągły pomiar rzutu minutowego serca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bCs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auto"/>
                <w:sz w:val="18"/>
                <w:szCs w:val="18"/>
              </w:rPr>
              <w:t xml:space="preserve">Ciągły pomiar rzutu minutowego serca metodą PICCO </w:t>
            </w:r>
          </w:p>
          <w:p w:rsidR="00CC7799" w:rsidRPr="000A2BFE" w:rsidRDefault="00CC7799" w:rsidP="002C6476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 skład mierzonych parametrów muszą wchodzić minimum następujące: Ciągły rzut serca, Systemowy opór naczyniowy, Objętość wyrzutowa/Indeks, Zmienność objętości wyrzutowej, Zmienność ciśnienia tętna, Objętość krwi w klatce piersiowej, Pozanaczyniowa woda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W zestawie dla każdego modułu przewody do podłączenia czujników jednorazowych oraz zestaw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stężenia wdechowo-wydechowego CO2 (kapnografii)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Pomiar stężenia wdechowo-wydechowego CO2 (kapnografii)</w:t>
            </w: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>– pomiar w strumieniu bocznym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Zakres pomiarowy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>min. od 0 do 99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Prezentacja cyfrowa pomiaru oraz prezentacja krzywej kapnograficznej.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Wykrywanie bezdechów z regulowanym czasem tolerancji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Moduł kompatybilny z monitorami zaoferowanymi na salę wybudzeń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Pomiar nie wymagający kalibracji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lastRenderedPageBreak/>
              <w:t>85.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 zestawie do każdego modułu min. 10 [szt.] akcesoriów jednorazowych do pomiaru u pacjentów zaintubowanych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entropii lub głębokości znieczulenia/sedacji metodą BIS/entropia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entropii lub głębokości znieczulenia/sedacji metodą BIS/entropia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 oraz min.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zwiotczenia mięśniowego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zwiotczenia mięśniowego NMT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89.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Pomiar metodą ST, TOF i PTC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90.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0A2BFE" w:rsidRDefault="00CC7799" w:rsidP="002C6476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</w:tbl>
    <w:p w:rsidR="00CC7799" w:rsidRPr="000A2BFE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0A2BFE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  <w:r w:rsidRPr="000A2BFE">
        <w:rPr>
          <w:rFonts w:ascii="Garamond" w:hAnsi="Garamond" w:cstheme="minorHAnsi"/>
          <w:b/>
          <w:sz w:val="18"/>
          <w:szCs w:val="18"/>
        </w:rPr>
        <w:t xml:space="preserve">Warunki gwarancji i serwisu </w:t>
      </w:r>
    </w:p>
    <w:p w:rsidR="00CC7799" w:rsidRPr="000A2BFE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</w:p>
    <w:tbl>
      <w:tblPr>
        <w:tblW w:w="1304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2410"/>
      </w:tblGrid>
      <w:tr w:rsidR="00CC7799" w:rsidRPr="000A2BFE" w:rsidTr="002C6476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0A2BFE" w:rsidRDefault="00CC7799" w:rsidP="002C6476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0A2BFE" w:rsidRDefault="00CC7799" w:rsidP="002C6476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0A2BFE" w:rsidRDefault="00CC7799" w:rsidP="002C6476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C7799" w:rsidRPr="000A2BFE" w:rsidRDefault="00CC7799" w:rsidP="002C6476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0A2BFE" w:rsidRDefault="00CC7799" w:rsidP="002C6476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Sposób oceny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Gwarancja na aparat </w:t>
            </w:r>
            <w:r w:rsidR="00CB28EA">
              <w:rPr>
                <w:rFonts w:ascii="Garamond" w:hAnsi="Garamond" w:cstheme="minorHAnsi"/>
                <w:sz w:val="18"/>
                <w:szCs w:val="18"/>
              </w:rPr>
              <w:t>[miesiące]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&gt;= 12,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0A2BFE" w:rsidRDefault="00CC7799" w:rsidP="002C6476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24 miesiące i więcej – 5 pkt.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mniejsze wartości – 1 pkt.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0A2BFE">
              <w:rPr>
                <w:rFonts w:ascii="Garamond" w:hAnsi="Garamond" w:cstheme="minorHAnsi"/>
                <w:color w:val="FF0000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Liczba przeglądów okresowych niezbędnych do wykonywania po upływie gwarancji dla potwierdzenia bezpiecznej eksploatacji aparatu – podać, opisać zakres.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lastRenderedPageBreak/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lastRenderedPageBreak/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Czas reakcji serwisu (przyjęte zgłoszenie – podjęta naprawa) 2 dni robocze.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</w:t>
            </w:r>
            <w:r w:rsidR="00DF5615">
              <w:rPr>
                <w:rFonts w:ascii="Garamond" w:hAnsi="Garamond" w:cstheme="minorHAnsi"/>
                <w:sz w:val="18"/>
                <w:szCs w:val="18"/>
              </w:rPr>
              <w:t>również 8 osób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>) – potwierdzone certyfikatem.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Akapitzlist"/>
              <w:spacing w:line="288" w:lineRule="auto"/>
              <w:ind w:left="0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i/>
                <w:sz w:val="18"/>
                <w:szCs w:val="18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i/>
                <w:sz w:val="18"/>
                <w:szCs w:val="18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i/>
                <w:sz w:val="18"/>
                <w:szCs w:val="18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0A2BFE" w:rsidTr="002C647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0A2BFE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0A2BFE" w:rsidRDefault="00CC7799" w:rsidP="002C647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0A2BFE" w:rsidRDefault="00CC7799" w:rsidP="002C6476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</w:tbl>
    <w:p w:rsidR="00CC7799" w:rsidRPr="000A2BFE" w:rsidRDefault="00CC7799" w:rsidP="00CC7799">
      <w:pPr>
        <w:pStyle w:val="Standard"/>
        <w:spacing w:line="288" w:lineRule="auto"/>
        <w:rPr>
          <w:rFonts w:ascii="Garamond" w:hAnsi="Garamond" w:cstheme="minorHAnsi"/>
          <w:sz w:val="18"/>
          <w:szCs w:val="18"/>
        </w:rPr>
      </w:pPr>
    </w:p>
    <w:p w:rsidR="00CC7799" w:rsidRPr="000A2BFE" w:rsidRDefault="00CC7799" w:rsidP="00CC7799">
      <w:pPr>
        <w:rPr>
          <w:rFonts w:ascii="Garamond" w:hAnsi="Garamond"/>
          <w:sz w:val="18"/>
          <w:szCs w:val="18"/>
        </w:rPr>
      </w:pPr>
    </w:p>
    <w:p w:rsidR="004853A7" w:rsidRPr="000A2BFE" w:rsidRDefault="004853A7" w:rsidP="00CF024F">
      <w:pPr>
        <w:rPr>
          <w:rFonts w:ascii="Garamond" w:hAnsi="Garamond"/>
          <w:sz w:val="18"/>
          <w:szCs w:val="18"/>
        </w:rPr>
      </w:pPr>
    </w:p>
    <w:sectPr w:rsidR="004853A7" w:rsidRPr="000A2BFE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FD" w:rsidRDefault="006123FD" w:rsidP="00FC5DE8">
      <w:pPr>
        <w:spacing w:after="0" w:line="240" w:lineRule="auto"/>
      </w:pPr>
      <w:r>
        <w:separator/>
      </w:r>
    </w:p>
  </w:endnote>
  <w:endnote w:type="continuationSeparator" w:id="0">
    <w:p w:rsidR="006123FD" w:rsidRDefault="006123FD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11998"/>
      <w:docPartObj>
        <w:docPartGallery w:val="Page Numbers (Bottom of Page)"/>
        <w:docPartUnique/>
      </w:docPartObj>
    </w:sdtPr>
    <w:sdtEndPr/>
    <w:sdtContent>
      <w:p w:rsidR="00321A48" w:rsidRPr="00396FC2" w:rsidRDefault="00321A48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CB28EA">
          <w:rPr>
            <w:rFonts w:ascii="Garamond" w:hAnsi="Garamond"/>
            <w:noProof/>
          </w:rPr>
          <w:t>20</w:t>
        </w:r>
        <w:r w:rsidRPr="00396FC2">
          <w:rPr>
            <w:rFonts w:ascii="Garamond" w:hAnsi="Garamond"/>
          </w:rPr>
          <w:fldChar w:fldCharType="end"/>
        </w:r>
      </w:p>
      <w:p w:rsidR="00321A48" w:rsidRDefault="00321A48" w:rsidP="00321A48">
        <w:pPr>
          <w:pStyle w:val="Stopka"/>
          <w:rPr>
            <w:rFonts w:ascii="Garamond" w:hAnsi="Garamond"/>
            <w:i/>
            <w:iCs/>
          </w:rPr>
        </w:pPr>
      </w:p>
      <w:p w:rsidR="00321A48" w:rsidRPr="0097462E" w:rsidRDefault="00321A48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4853A7" w:rsidRDefault="006123FD">
        <w:pPr>
          <w:pStyle w:val="Stopka"/>
          <w:jc w:val="right"/>
        </w:pPr>
      </w:p>
    </w:sdtContent>
  </w:sdt>
  <w:p w:rsidR="004853A7" w:rsidRDefault="00485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FD" w:rsidRDefault="006123FD" w:rsidP="00FC5DE8">
      <w:pPr>
        <w:spacing w:after="0" w:line="240" w:lineRule="auto"/>
      </w:pPr>
      <w:r>
        <w:separator/>
      </w:r>
    </w:p>
  </w:footnote>
  <w:footnote w:type="continuationSeparator" w:id="0">
    <w:p w:rsidR="006123FD" w:rsidRDefault="006123FD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8" w:rsidRDefault="00CF024F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DFZP-BM-271-204</w:t>
    </w:r>
    <w:r w:rsidR="00321A48">
      <w:rPr>
        <w:rFonts w:ascii="Garamond" w:hAnsi="Garamond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321A48" w:rsidRPr="00321A48" w:rsidRDefault="00321A48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321A48" w:rsidRDefault="00321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9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D5"/>
    <w:rsid w:val="00011CBD"/>
    <w:rsid w:val="00033923"/>
    <w:rsid w:val="00092C6D"/>
    <w:rsid w:val="000A2BFE"/>
    <w:rsid w:val="001200D7"/>
    <w:rsid w:val="0020451A"/>
    <w:rsid w:val="00214B82"/>
    <w:rsid w:val="002267F6"/>
    <w:rsid w:val="0025608B"/>
    <w:rsid w:val="00263C3D"/>
    <w:rsid w:val="00265A6C"/>
    <w:rsid w:val="002A4097"/>
    <w:rsid w:val="002B44EB"/>
    <w:rsid w:val="002F4A85"/>
    <w:rsid w:val="003051B2"/>
    <w:rsid w:val="00321A48"/>
    <w:rsid w:val="00386BDE"/>
    <w:rsid w:val="004853A7"/>
    <w:rsid w:val="00486F02"/>
    <w:rsid w:val="004A2FE6"/>
    <w:rsid w:val="004B43E2"/>
    <w:rsid w:val="004C53BF"/>
    <w:rsid w:val="00536EE3"/>
    <w:rsid w:val="005D24AB"/>
    <w:rsid w:val="006123FD"/>
    <w:rsid w:val="006C5870"/>
    <w:rsid w:val="00730651"/>
    <w:rsid w:val="007E046A"/>
    <w:rsid w:val="008104FF"/>
    <w:rsid w:val="00812580"/>
    <w:rsid w:val="00897EFA"/>
    <w:rsid w:val="008B7CF1"/>
    <w:rsid w:val="008E024B"/>
    <w:rsid w:val="009A4E80"/>
    <w:rsid w:val="00A96134"/>
    <w:rsid w:val="00AE241A"/>
    <w:rsid w:val="00B22BCD"/>
    <w:rsid w:val="00B26347"/>
    <w:rsid w:val="00B77552"/>
    <w:rsid w:val="00B8719C"/>
    <w:rsid w:val="00BD72C1"/>
    <w:rsid w:val="00C114DF"/>
    <w:rsid w:val="00C43EB8"/>
    <w:rsid w:val="00C648BE"/>
    <w:rsid w:val="00C95E77"/>
    <w:rsid w:val="00CB28EA"/>
    <w:rsid w:val="00CC7799"/>
    <w:rsid w:val="00CF024F"/>
    <w:rsid w:val="00CF3A37"/>
    <w:rsid w:val="00D22676"/>
    <w:rsid w:val="00D2680D"/>
    <w:rsid w:val="00D42625"/>
    <w:rsid w:val="00D763E7"/>
    <w:rsid w:val="00D973D5"/>
    <w:rsid w:val="00DF5615"/>
    <w:rsid w:val="00E60DFD"/>
    <w:rsid w:val="00EC04D6"/>
    <w:rsid w:val="00F41B85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9D09"/>
  <w15:docId w15:val="{C6B9507F-CDA4-4ADD-A5EE-01B9F12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  <w:style w:type="paragraph" w:customStyle="1" w:styleId="Zawartotabeli">
    <w:name w:val="Zawartość tabeli"/>
    <w:basedOn w:val="Normalny"/>
    <w:rsid w:val="00CC77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CC779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A363-48E1-40E5-9041-05B45323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3459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Magdalena Leśniak</cp:lastModifiedBy>
  <cp:revision>2</cp:revision>
  <cp:lastPrinted>2017-10-02T08:32:00Z</cp:lastPrinted>
  <dcterms:created xsi:type="dcterms:W3CDTF">2017-10-25T09:33:00Z</dcterms:created>
  <dcterms:modified xsi:type="dcterms:W3CDTF">2017-10-25T09:33:00Z</dcterms:modified>
</cp:coreProperties>
</file>