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99" w:rsidRPr="000A2BFE" w:rsidRDefault="00CC7799" w:rsidP="00812580">
      <w:pPr>
        <w:pStyle w:val="Tytu"/>
        <w:rPr>
          <w:sz w:val="20"/>
          <w:szCs w:val="20"/>
        </w:rPr>
      </w:pPr>
      <w:r w:rsidRPr="000A2BFE">
        <w:rPr>
          <w:sz w:val="20"/>
          <w:szCs w:val="20"/>
        </w:rPr>
        <w:t>OPIS PRZEDMIOTU ZAMÓWIENIA</w:t>
      </w:r>
    </w:p>
    <w:p w:rsidR="00C95E77" w:rsidRPr="000A2BFE" w:rsidRDefault="00C95E77" w:rsidP="00812580">
      <w:pPr>
        <w:spacing w:before="100" w:beforeAutospacing="1" w:after="100" w:afterAutospacing="1" w:line="288" w:lineRule="auto"/>
        <w:jc w:val="center"/>
        <w:rPr>
          <w:rFonts w:ascii="Garamond" w:hAnsi="Garamond"/>
          <w:b/>
          <w:u w:val="single"/>
        </w:rPr>
      </w:pPr>
    </w:p>
    <w:p w:rsidR="00CC7799" w:rsidRPr="000A2BFE" w:rsidRDefault="00CC7799" w:rsidP="00812580">
      <w:pPr>
        <w:spacing w:before="100" w:beforeAutospacing="1" w:after="100" w:afterAutospacing="1" w:line="288" w:lineRule="auto"/>
        <w:jc w:val="center"/>
        <w:rPr>
          <w:rFonts w:ascii="Garamond" w:hAnsi="Garamond"/>
          <w:b/>
          <w:u w:val="single"/>
        </w:rPr>
      </w:pPr>
      <w:r w:rsidRPr="000A2BFE">
        <w:rPr>
          <w:rFonts w:ascii="Garamond" w:hAnsi="Garamond"/>
          <w:b/>
          <w:u w:val="single"/>
        </w:rPr>
        <w:t>aparat do znieczulenia ogólnego – 4 szt.</w:t>
      </w:r>
    </w:p>
    <w:p w:rsidR="00CC7799" w:rsidRPr="000A2BFE" w:rsidRDefault="00CC7799" w:rsidP="00CC7799">
      <w:pPr>
        <w:pStyle w:val="Standard"/>
        <w:rPr>
          <w:rFonts w:ascii="Garamond" w:hAnsi="Garamond"/>
          <w:sz w:val="20"/>
          <w:szCs w:val="20"/>
        </w:rPr>
      </w:pPr>
      <w:r w:rsidRPr="000A2BFE">
        <w:rPr>
          <w:rFonts w:ascii="Garamond" w:hAnsi="Garamond"/>
          <w:sz w:val="20"/>
          <w:szCs w:val="20"/>
        </w:rPr>
        <w:t>Uwagi i objaśnienia:</w:t>
      </w:r>
    </w:p>
    <w:p w:rsidR="00CC7799" w:rsidRPr="000A2BFE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0A2BFE" w:rsidRDefault="00CC7799" w:rsidP="00CC7799">
      <w:pPr>
        <w:pStyle w:val="Standard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0A2BFE">
        <w:rPr>
          <w:rFonts w:ascii="Garamond" w:hAnsi="Garamond"/>
          <w:sz w:val="20"/>
          <w:szCs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CC7799" w:rsidRPr="000A2BFE" w:rsidRDefault="00CC7799" w:rsidP="00CC7799">
      <w:pPr>
        <w:pStyle w:val="Standard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0A2BFE">
        <w:rPr>
          <w:rFonts w:ascii="Garamond" w:hAnsi="Garamond"/>
          <w:sz w:val="20"/>
          <w:szCs w:val="20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CC7799" w:rsidRPr="000A2BFE" w:rsidRDefault="00CC7799" w:rsidP="00CC7799">
      <w:pPr>
        <w:pStyle w:val="Standard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0A2BFE">
        <w:rPr>
          <w:rFonts w:ascii="Garamond" w:hAnsi="Garamond"/>
          <w:sz w:val="20"/>
          <w:szCs w:val="20"/>
        </w:rPr>
        <w:t>Wykonawca zobowiązany jest do podania parametrów w jednostkach wskazanych w niniejszym opisie.</w:t>
      </w:r>
    </w:p>
    <w:p w:rsidR="00CC7799" w:rsidRPr="000A2BFE" w:rsidRDefault="00CC7799" w:rsidP="00CC7799">
      <w:pPr>
        <w:pStyle w:val="Standard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0A2BFE">
        <w:rPr>
          <w:rFonts w:ascii="Garamond" w:hAnsi="Garamond"/>
          <w:sz w:val="20"/>
          <w:szCs w:val="20"/>
        </w:rPr>
        <w:t>Wykonawca gwarantuje niniejszym, że sprzęt jest fabrycznie nowy (rok produkcji: nie wcześniej niż 2017),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CC7799" w:rsidRPr="000A2BFE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0A2BFE" w:rsidRDefault="00CC7799" w:rsidP="00CC7799">
      <w:pPr>
        <w:pStyle w:val="Standard"/>
        <w:rPr>
          <w:rFonts w:ascii="Garamond" w:hAnsi="Garamond"/>
          <w:sz w:val="20"/>
          <w:szCs w:val="20"/>
        </w:rPr>
      </w:pPr>
      <w:r w:rsidRPr="000A2BFE">
        <w:rPr>
          <w:rFonts w:ascii="Garamond" w:hAnsi="Garamond"/>
          <w:sz w:val="20"/>
          <w:szCs w:val="20"/>
        </w:rPr>
        <w:t>Nazwa i typ: .............................................................</w:t>
      </w:r>
    </w:p>
    <w:p w:rsidR="00CC7799" w:rsidRPr="000A2BFE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0A2BFE" w:rsidRDefault="00CC7799" w:rsidP="00CC7799">
      <w:pPr>
        <w:pStyle w:val="Standard"/>
        <w:rPr>
          <w:rFonts w:ascii="Garamond" w:hAnsi="Garamond"/>
          <w:sz w:val="20"/>
          <w:szCs w:val="20"/>
        </w:rPr>
      </w:pPr>
      <w:r w:rsidRPr="000A2BFE">
        <w:rPr>
          <w:rFonts w:ascii="Garamond" w:hAnsi="Garamond"/>
          <w:sz w:val="20"/>
          <w:szCs w:val="20"/>
        </w:rPr>
        <w:t>Producent / kraj produkcji: ........................................................</w:t>
      </w:r>
    </w:p>
    <w:p w:rsidR="00CC7799" w:rsidRPr="000A2BFE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0A2BFE" w:rsidRDefault="00CC7799" w:rsidP="00CC7799">
      <w:pPr>
        <w:pStyle w:val="Standard"/>
        <w:rPr>
          <w:rFonts w:ascii="Garamond" w:hAnsi="Garamond"/>
          <w:sz w:val="20"/>
          <w:szCs w:val="20"/>
        </w:rPr>
      </w:pPr>
      <w:r w:rsidRPr="000A2BFE">
        <w:rPr>
          <w:rFonts w:ascii="Garamond" w:hAnsi="Garamond"/>
          <w:sz w:val="20"/>
          <w:szCs w:val="20"/>
        </w:rPr>
        <w:t>Rok produkcji (min. 2017): …..............</w:t>
      </w:r>
    </w:p>
    <w:p w:rsidR="00CC7799" w:rsidRPr="000A2BFE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0A2BFE" w:rsidRDefault="00CC7799" w:rsidP="00812580">
      <w:pPr>
        <w:pStyle w:val="Standard"/>
        <w:rPr>
          <w:rFonts w:ascii="Garamond" w:hAnsi="Garamond"/>
          <w:sz w:val="20"/>
          <w:szCs w:val="20"/>
        </w:rPr>
      </w:pPr>
      <w:r w:rsidRPr="000A2BFE">
        <w:rPr>
          <w:rFonts w:ascii="Garamond" w:hAnsi="Garamond"/>
          <w:sz w:val="20"/>
          <w:szCs w:val="20"/>
        </w:rPr>
        <w:t>Klasa wyrobu medycznego: ..................</w:t>
      </w:r>
    </w:p>
    <w:p w:rsidR="00812580" w:rsidRPr="000A2BFE" w:rsidRDefault="00812580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0A2BFE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0A2BFE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0A2BFE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0A2BFE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0A2BFE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0A2BFE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0A2BFE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0A2BFE" w:rsidRDefault="000A2BFE" w:rsidP="00812580">
      <w:pPr>
        <w:pStyle w:val="Standard"/>
        <w:rPr>
          <w:rFonts w:ascii="Garamond" w:hAnsi="Garamond"/>
          <w:sz w:val="20"/>
          <w:szCs w:val="20"/>
        </w:rPr>
      </w:pPr>
    </w:p>
    <w:p w:rsidR="000A2BFE" w:rsidRPr="000A2BFE" w:rsidRDefault="000A2BFE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0A2BFE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tbl>
      <w:tblPr>
        <w:tblW w:w="66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548"/>
        <w:gridCol w:w="5775"/>
        <w:gridCol w:w="4651"/>
        <w:gridCol w:w="4647"/>
      </w:tblGrid>
      <w:tr w:rsidR="00812580" w:rsidRPr="000A2BFE" w:rsidTr="00092C6D">
        <w:trPr>
          <w:gridAfter w:val="1"/>
          <w:wAfter w:w="1249" w:type="pct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580" w:rsidRPr="000A2BFE" w:rsidRDefault="00812580" w:rsidP="002C6476">
            <w:pPr>
              <w:pStyle w:val="Standard"/>
              <w:snapToGrid w:val="0"/>
              <w:rPr>
                <w:rFonts w:ascii="Garamond" w:hAnsi="Garamond"/>
                <w:sz w:val="18"/>
                <w:szCs w:val="18"/>
              </w:rPr>
            </w:pPr>
            <w:r w:rsidRPr="000A2BFE">
              <w:rPr>
                <w:rFonts w:ascii="Garamond" w:hAnsi="Garamond"/>
                <w:sz w:val="18"/>
                <w:szCs w:val="18"/>
              </w:rPr>
              <w:lastRenderedPageBreak/>
              <w:t>Przedmiot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0A2BFE" w:rsidRDefault="00812580" w:rsidP="002C6476">
            <w:pPr>
              <w:pStyle w:val="Standard"/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A2BFE">
              <w:rPr>
                <w:rFonts w:ascii="Garamond" w:hAnsi="Garamond"/>
                <w:sz w:val="18"/>
                <w:szCs w:val="18"/>
              </w:rPr>
              <w:t>Liczba sztuk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0A2BFE" w:rsidRDefault="00812580" w:rsidP="002C6476">
            <w:pPr>
              <w:pStyle w:val="Standard"/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A2BFE">
              <w:rPr>
                <w:rFonts w:ascii="Garamond" w:hAnsi="Garamond"/>
                <w:sz w:val="18"/>
                <w:szCs w:val="18"/>
              </w:rPr>
              <w:t>Cena jednostkowa aparatu brutto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0A2BFE" w:rsidRDefault="00812580" w:rsidP="002C6476">
            <w:pPr>
              <w:pStyle w:val="Standard"/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A2BFE">
              <w:rPr>
                <w:rFonts w:ascii="Garamond" w:hAnsi="Garamond"/>
                <w:sz w:val="18"/>
                <w:szCs w:val="18"/>
              </w:rPr>
              <w:t>A: Cena brutto aparatów</w:t>
            </w:r>
          </w:p>
        </w:tc>
      </w:tr>
      <w:tr w:rsidR="00812580" w:rsidRPr="000A2BFE" w:rsidTr="00092C6D">
        <w:trPr>
          <w:gridAfter w:val="1"/>
          <w:wAfter w:w="1249" w:type="pct"/>
          <w:trHeight w:val="527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80" w:rsidRPr="000A2BFE" w:rsidRDefault="00812580" w:rsidP="002C6476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  <w:r w:rsidRPr="000A2BFE"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  <w:t>Aparat do znieczulenia ogólnego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0A2BFE" w:rsidRDefault="00812580" w:rsidP="002C6476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  <w:r w:rsidRPr="000A2BFE"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0A2BFE" w:rsidRDefault="00812580" w:rsidP="002C6476">
            <w:pPr>
              <w:pStyle w:val="Skrconyadreszwrotny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0A2BFE" w:rsidRDefault="00812580" w:rsidP="002C6476">
            <w:pPr>
              <w:pStyle w:val="Skrconyadreszwrotny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812580" w:rsidRPr="000A2BFE" w:rsidTr="00092C6D">
        <w:trPr>
          <w:gridBefore w:val="2"/>
          <w:gridAfter w:val="1"/>
          <w:wBefore w:w="949" w:type="pct"/>
          <w:wAfter w:w="1250" w:type="pct"/>
          <w:trHeight w:val="527"/>
        </w:trPr>
        <w:tc>
          <w:tcPr>
            <w:tcW w:w="1552" w:type="pct"/>
            <w:tcBorders>
              <w:right w:val="single" w:sz="4" w:space="0" w:color="auto"/>
            </w:tcBorders>
            <w:vAlign w:val="center"/>
          </w:tcPr>
          <w:p w:rsidR="00812580" w:rsidRPr="000A2BFE" w:rsidRDefault="00812580" w:rsidP="002C6476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0A2BFE" w:rsidRDefault="00812580" w:rsidP="002C6476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  <w:r w:rsidRPr="000A2BFE"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  <w:t>B: Cena brutto dostawy, instalacji, uruchomienia, szkolenia:</w:t>
            </w:r>
          </w:p>
        </w:tc>
      </w:tr>
      <w:tr w:rsidR="00812580" w:rsidRPr="000A2BFE" w:rsidTr="00092C6D">
        <w:trPr>
          <w:gridBefore w:val="2"/>
          <w:wBefore w:w="949" w:type="pct"/>
          <w:trHeight w:val="527"/>
        </w:trPr>
        <w:tc>
          <w:tcPr>
            <w:tcW w:w="1552" w:type="pct"/>
            <w:tcBorders>
              <w:right w:val="single" w:sz="4" w:space="0" w:color="auto"/>
            </w:tcBorders>
            <w:vAlign w:val="center"/>
          </w:tcPr>
          <w:p w:rsidR="00812580" w:rsidRPr="000A2BFE" w:rsidRDefault="00812580" w:rsidP="00812580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0A2BFE" w:rsidRDefault="00812580" w:rsidP="00812580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812580" w:rsidRPr="000A2BFE" w:rsidRDefault="00812580" w:rsidP="00812580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A4E80" w:rsidRPr="000A2BFE" w:rsidRDefault="009A4E80">
      <w:pPr>
        <w:rPr>
          <w:rFonts w:ascii="Garamond" w:hAnsi="Garamond"/>
          <w:sz w:val="18"/>
          <w:szCs w:val="18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4"/>
        <w:gridCol w:w="4649"/>
      </w:tblGrid>
      <w:tr w:rsidR="00812580" w:rsidRPr="000A2BFE" w:rsidTr="009A4E80">
        <w:trPr>
          <w:trHeight w:val="527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80" w:rsidRPr="000A2BFE" w:rsidRDefault="00812580" w:rsidP="00812580">
            <w:pPr>
              <w:pStyle w:val="Skrconyadreszwrotny"/>
              <w:snapToGri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bCs/>
                <w:sz w:val="18"/>
                <w:szCs w:val="18"/>
              </w:rPr>
              <w:t>A+ B: Cena brutto oferty</w:t>
            </w:r>
            <w:r w:rsidR="004A2FE6" w:rsidRPr="000A2BFE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0A2BFE" w:rsidRDefault="00812580" w:rsidP="00812580">
            <w:pPr>
              <w:pStyle w:val="Skrconyadreszwrotny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:rsidR="00CC7799" w:rsidRPr="000A2BFE" w:rsidRDefault="00CC7799" w:rsidP="00CC7799">
      <w:pPr>
        <w:rPr>
          <w:rFonts w:ascii="Garamond" w:hAnsi="Garamond"/>
          <w:sz w:val="18"/>
          <w:szCs w:val="18"/>
        </w:rPr>
      </w:pPr>
    </w:p>
    <w:p w:rsidR="00CC7799" w:rsidRPr="000A2BFE" w:rsidRDefault="00CC7799" w:rsidP="00CC7799">
      <w:pPr>
        <w:rPr>
          <w:rFonts w:ascii="Garamond" w:hAnsi="Garamond"/>
          <w:b/>
          <w:sz w:val="18"/>
          <w:szCs w:val="18"/>
        </w:rPr>
      </w:pPr>
      <w:r w:rsidRPr="000A2BFE">
        <w:rPr>
          <w:rFonts w:ascii="Garamond" w:hAnsi="Garamond"/>
          <w:b/>
          <w:sz w:val="18"/>
          <w:szCs w:val="18"/>
        </w:rPr>
        <w:t xml:space="preserve">Parametry techniczne i eksploatacyjne </w:t>
      </w:r>
    </w:p>
    <w:tbl>
      <w:tblPr>
        <w:tblW w:w="1304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1560"/>
        <w:gridCol w:w="3826"/>
        <w:gridCol w:w="2410"/>
      </w:tblGrid>
      <w:tr w:rsidR="00CC7799" w:rsidRPr="000A2BFE" w:rsidTr="002C64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Opis parametru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9" w:rsidRPr="000A2BFE" w:rsidRDefault="00CC7799" w:rsidP="002C6476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  <w:highlight w:val="yellow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Zasady oceny (punktacji)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INFORMACJE OGÓLNE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Aparat do znieczulania ogólnego, jezdny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Wymiary zewnętrzne (wysokość x szerokość x głębokość) [cm]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Masa (kg)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Zasilanie dostosowane do  230 [V], 50 [Hz]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Aparat wyposażony m. in. w blat do pisania, uchwyt do zapasowej butli tlenowej  i min. 1 szufladę na akcesoria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Wbudowane fabrycznie gniazda elektryczne 230 [V] (minimum 3 gniazda) umieszczone z tyłu 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Indywidualne, automatyczne, bezpieczniki gniazd elektrycznych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 – 1 pkt.,</w:t>
            </w:r>
          </w:p>
          <w:p w:rsidR="00CC7799" w:rsidRPr="000A2BFE" w:rsidRDefault="00CC7799" w:rsidP="002C6476">
            <w:pPr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Zasilanie gazowe (N2O, O2, powietrze) z sieci  centralnej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Możliwość awaryjnego zasilania gazowego z butli O2[l]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  <w:p w:rsidR="00CC7799" w:rsidRPr="000A2BFE" w:rsidRDefault="00CC7799" w:rsidP="002C6476">
            <w:pPr>
              <w:pStyle w:val="Standard"/>
              <w:autoSpaceDE w:val="0"/>
              <w:snapToGrid w:val="0"/>
              <w:spacing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min. 5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Uchwyt na 2 butle o pojemności 10 [l]: tlenową i podtlenku azotu umieszczony na tylnej ścianie 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Awaryjne zasilanie elektryczne aparatu na min. </w:t>
            </w:r>
            <w:r w:rsidRPr="000A2BFE">
              <w:rPr>
                <w:rFonts w:ascii="Garamond" w:hAnsi="Garamond" w:cs="Arial"/>
                <w:color w:val="000000"/>
                <w:sz w:val="18"/>
                <w:szCs w:val="18"/>
              </w:rPr>
              <w:br/>
              <w:t>60 minut w warunkach standardowych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Reduktory do butli O2 ze złączami, wyposażone </w:t>
            </w:r>
            <w:r w:rsidRPr="000A2BFE">
              <w:rPr>
                <w:rFonts w:ascii="Garamond" w:hAnsi="Garamond" w:cs="Arial"/>
                <w:sz w:val="18"/>
                <w:szCs w:val="18"/>
              </w:rPr>
              <w:br/>
              <w:t>w przyłącze do 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Prezentacja ciśnień gazów zasilających na ekranie respiratora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0A2BFE" w:rsidRDefault="00CC7799" w:rsidP="002C6476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Ssak iniektorowy z regulacją siły ssania i zbiornikiem na wydzieliny o pojemności  min. 0, 7 [l] oraz minimum jednym zapasowym wymiennym zbiornikiem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15.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Aktywne miejsce w układzie dla parownika (klasycznego lub elektronicznego)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System uniemożliwiający jednoczesną podaż dwóch środków wziewnych jednocześnie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SYSTEM DYSTRYBUCJI GAZÓW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Precyzyjne, elektroniczne lub rotametryczne przepływomierze dla tlenu, podtlenku azotu i powietrza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Elektroniczne – 5 pkt. Rotametryczne – 1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Wyświetlanie przepływu gazów przy pomocy wirtualnych przepływomierzy na ekranie wentylatora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 – 3 pkt.,</w:t>
            </w:r>
          </w:p>
          <w:p w:rsidR="00CC7799" w:rsidRPr="000A2BFE" w:rsidRDefault="00CC7799" w:rsidP="002C6476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Zintegrowany (lub wbudowany) zapasowy awaryjny mechaniczny przepływomierz  tlenowy z przepływem tlenu minimum 10 [l/min]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System automatycznego utrzymywania stężenia tlenu w mieszaninie z podtlenkiem azotu na poziomie min. 25 [%]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Mieszalnik świeżych gazów zapewniający stałe stężenie tlenu przy zmianie wielkości przepływu świeżych gazów; mieszalnik sterowany elektronicznie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 – 3 pkt.,</w:t>
            </w:r>
          </w:p>
          <w:p w:rsidR="00CC7799" w:rsidRPr="000A2BFE" w:rsidRDefault="00CC7799" w:rsidP="002C6476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Przepływomierze umożliwiające podaż gazów </w:t>
            </w:r>
            <w:r w:rsidRPr="000A2BFE">
              <w:rPr>
                <w:rFonts w:ascii="Garamond" w:hAnsi="Garamond" w:cs="Arial"/>
                <w:sz w:val="18"/>
                <w:szCs w:val="18"/>
              </w:rPr>
              <w:br/>
              <w:t xml:space="preserve">w systemie anestezji z niskimi i minimalnymi przepływami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UKŁAD ODDECHOWY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23.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Kompaktowy układ oddechowy okrężny do wentylacji dorosłych i dzieci o niskiej podatności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Układ oddechowy o prostej budowie, łatwy do wymiany i sterylizacji, pozbawiony lateksu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Układ kompaktowy, wbudowany,  nie wystający poza rzut podstawy 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0A2BFE" w:rsidRDefault="00CC7799" w:rsidP="002C6476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Układ przystosowany do prowadzenia znieczulenia </w:t>
            </w:r>
            <w:r w:rsidRPr="000A2BFE">
              <w:rPr>
                <w:rFonts w:ascii="Garamond" w:hAnsi="Garamond" w:cs="Arial"/>
                <w:sz w:val="18"/>
                <w:szCs w:val="18"/>
              </w:rPr>
              <w:br/>
              <w:t>w systemach półotwartym i półzamkniętym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Obejście tlenowe o dużej wydajności[l/min]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35 [l/min/] i więcej – 2 pkt.,</w:t>
            </w:r>
          </w:p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niższe wartości – 1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Wielorazowy pochłaniacz dwutlenku węgla o obudowie przeziernej i pojemności max. 1,5 [l] (możliwość stosowania pochłaniaczy wielorazowych i jednorazowych)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Możliwość zmiany podczas  znieczulenia bez rozszczelniania układu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Eliminacja gazów poanestetycznych poza salę operacyjną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snapToGrid w:val="0"/>
              <w:spacing w:before="60" w:after="6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RESPIRATOR ANESTETYCZNY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snapToGrid w:val="0"/>
              <w:spacing w:before="60" w:after="6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Tryby wentylacji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Możliwość prowadzenia wentylacji ręcznej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32.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Tryb wentylacji ciśnieniowo zmienny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Tryb wentylacji objętościowo zmienny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SIMV – synchronizowana przerywana wentylacja wymuszona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SIMV/PS – wentylacja synchronizowana ze wspomaganiem ciśnieniowym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0A2BFE" w:rsidRDefault="00CC7799" w:rsidP="002C6476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Precyzyjny wyzwalacz przepływowy z precyzyjną regulacją czułości                             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Tryb wentylacji PSV z zabezpieczeniem na wypadek bezdechu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Automatyczne przełączenie na wentylację mechaniczną po wykryciu bezdechu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Tryb wentylacji z docelową lub gwarantowaną objętością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Awaryjny, mechaniczny tryb wentylacji po zaniku dopływu świeżych gazów z sieci centralnej i butli rezerwowych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0A2BFE" w:rsidRDefault="00CC7799" w:rsidP="002C6476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Podawanie (na żądanie) dodatkowego jednego oddechu pod określonym ciśnieniem i przez określony czas – bez wykonywania zmian w ustawieniach respiratora – wentylacja mechaniczna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0A2BFE" w:rsidRDefault="00CC7799" w:rsidP="002C6476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możliwość włączenia wielostopniowej funkcji rekrutacji pęcherzyków płucnych w trybie wentylacji mechanicznej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 – 1 pkt.,</w:t>
            </w:r>
          </w:p>
          <w:p w:rsidR="00CC7799" w:rsidRPr="000A2BFE" w:rsidRDefault="00CC7799" w:rsidP="002C6476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43.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Zakres PEEP - min. od 4 [cm H2O] do 20 [cm H2O]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Regulacje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Regulacja stosunku wdechu do wydechu – minimum </w:t>
            </w:r>
            <w:r w:rsidRPr="000A2BFE">
              <w:rPr>
                <w:rFonts w:ascii="Garamond" w:hAnsi="Garamond" w:cs="Arial"/>
                <w:sz w:val="18"/>
                <w:szCs w:val="18"/>
              </w:rPr>
              <w:br/>
              <w:t>2 : 1 do 1 : 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Regulacja częstości oddechu - minimum od 4 do 80 [odd/min] (wentylacja objętościowa i ciśnieniowa)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Zakres objętości oddechowej - minimum od 20 do 1400 [ml]; (wentylacja objętościowa)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Regulacja ciśnienia wdechu przy PCV - minimum: od 5 do 60 [cm H2O]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Regulowana płynnie lub skokowo pauza wdechowa w zakresie minimum 5-50 [%]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Alarmy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Niskiej pojemności minutowej MV i / lub oddechowej TV z regulowanymi progami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MV i TV – 2 pkt.,</w:t>
            </w:r>
          </w:p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tylko MV – 1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Alarm minimalnego i maksymalnego ciśnienia wdechowego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Alarm braku zasilania w energię elektryczną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Alarm braku zasilania w gazy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53.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Alarm Apnea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Inne wyżej nie wymienione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 alarmy lub więcej – 2 pkt.,</w:t>
            </w:r>
          </w:p>
          <w:p w:rsidR="00CC7799" w:rsidRPr="000A2BFE" w:rsidRDefault="00CC7799" w:rsidP="002C6476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mniejsza liczba – 1 pkt.,</w:t>
            </w:r>
          </w:p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brak – 0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POMIAR I OBRAZOWANIE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Stężenie tlenu w gazach oddechowych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Pomiar objętości oddechowej TV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Pomiar pojemności minutowej MV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Pomiar częstotliwości oddechowej f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Ciśnienia szczytowego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Ciśnienia Plateau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Ciśnienia średniego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Ciśnienia PEEP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Częstość oddychania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manometr pomiaru ciśnienia w drogach oddechowych wyświetlany na ekranie wentylatora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Elektroniczny – 2 pkt.,</w:t>
            </w:r>
          </w:p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mechaniczny – 1 pkt.,</w:t>
            </w:r>
          </w:p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brak – 0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65.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Stężenie wdechowe i wydechowe tlenu w gazach oddechowych w aparacie do znieczulania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Pomiar stężenia środków anestetycznych dla mieszaniny wdechowej i wydechowej dla: podtlenku azotu, izofluranu, sevofluranu, desfluranu w aparacie do znieczulania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0"/>
                <w:sz w:val="18"/>
                <w:szCs w:val="18"/>
              </w:rPr>
              <w:t>Automatyczna identyfikacja anestetyku wziewnego i pomiar MAC w aparacie do znieczulania  z uwzględnieniem wieku pacjenta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tabs>
                <w:tab w:val="center" w:pos="795"/>
                <w:tab w:val="left" w:pos="1352"/>
              </w:tabs>
              <w:autoSpaceDE w:val="0"/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ab/>
            </w: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Pomiar i obrazowanie spirometrii co najmniej: krzywa ciśnienia, krzywa objętości, pętla ciśnienie – objętość.</w:t>
            </w:r>
          </w:p>
          <w:p w:rsidR="00CC7799" w:rsidRPr="000A2BFE" w:rsidRDefault="00CC7799" w:rsidP="002C6476">
            <w:pPr>
              <w:snapToGrid w:val="0"/>
              <w:spacing w:line="360" w:lineRule="auto"/>
              <w:ind w:left="229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tabs>
                <w:tab w:val="center" w:pos="795"/>
                <w:tab w:val="left" w:pos="1352"/>
              </w:tabs>
              <w:autoSpaceDE w:val="0"/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ab/>
            </w: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Pomiar z wyświetlaniem podatności i oporu dróg oddechowych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 – 1 pkt.,</w:t>
            </w:r>
          </w:p>
          <w:p w:rsidR="00CC7799" w:rsidRPr="000A2BFE" w:rsidRDefault="00CC7799" w:rsidP="002C6476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PREZENTACJA GRAFICZNA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0"/>
                <w:sz w:val="18"/>
                <w:szCs w:val="18"/>
              </w:rPr>
              <w:t>Ekran kolorowy do prezentacji parametrów znieczulenia i krzywych o przekątnej minimum 12 [”] oraz rozdzielczości minimum 800x600 [pikseli]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after="60" w:line="360" w:lineRule="auto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0A2BFE">
              <w:rPr>
                <w:rFonts w:ascii="Garamond" w:hAnsi="Garamond" w:cs="Arial"/>
                <w:sz w:val="18"/>
                <w:szCs w:val="18"/>
                <w:u w:val="single"/>
              </w:rPr>
              <w:t>Oddzielna punktacja za:</w:t>
            </w:r>
          </w:p>
          <w:p w:rsidR="00CC7799" w:rsidRPr="000A2BFE" w:rsidRDefault="00CC7799" w:rsidP="00CC7799">
            <w:pPr>
              <w:widowControl w:val="0"/>
              <w:numPr>
                <w:ilvl w:val="0"/>
                <w:numId w:val="17"/>
              </w:numPr>
              <w:suppressAutoHyphens/>
              <w:spacing w:after="60" w:line="360" w:lineRule="auto"/>
              <w:ind w:left="357" w:hanging="357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przekątną:</w:t>
            </w:r>
          </w:p>
          <w:p w:rsidR="00CC7799" w:rsidRPr="000A2BFE" w:rsidRDefault="00CC7799" w:rsidP="002C6476">
            <w:pPr>
              <w:spacing w:line="360" w:lineRule="auto"/>
              <w:ind w:left="370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przekątna 15 [”] lub większa – 3 pkt.,</w:t>
            </w:r>
          </w:p>
          <w:p w:rsidR="00CC7799" w:rsidRPr="000A2BFE" w:rsidRDefault="00CC7799" w:rsidP="002C6476">
            <w:pPr>
              <w:spacing w:after="120" w:line="360" w:lineRule="auto"/>
              <w:ind w:left="369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mniejsze przekątne – 1 pkt.</w:t>
            </w:r>
          </w:p>
          <w:p w:rsidR="00CC7799" w:rsidRPr="000A2BFE" w:rsidRDefault="00CC7799" w:rsidP="00CC7799">
            <w:pPr>
              <w:widowControl w:val="0"/>
              <w:numPr>
                <w:ilvl w:val="0"/>
                <w:numId w:val="17"/>
              </w:numPr>
              <w:suppressAutoHyphens/>
              <w:spacing w:after="60" w:line="360" w:lineRule="auto"/>
              <w:ind w:left="357" w:hanging="357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rozdzielczość:</w:t>
            </w:r>
          </w:p>
          <w:p w:rsidR="00CC7799" w:rsidRPr="000A2BFE" w:rsidRDefault="00CC7799" w:rsidP="002C6476">
            <w:pPr>
              <w:spacing w:line="360" w:lineRule="auto"/>
              <w:ind w:left="370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rozdzielczość wymagana – 1 pkt.,</w:t>
            </w:r>
          </w:p>
          <w:p w:rsidR="00CC7799" w:rsidRPr="000A2BFE" w:rsidRDefault="00CC7799" w:rsidP="002C6476">
            <w:pPr>
              <w:snapToGrid w:val="0"/>
              <w:spacing w:before="40" w:after="40" w:line="360" w:lineRule="auto"/>
              <w:ind w:left="370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wyższa niż wymagana – 3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72.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0"/>
                <w:sz w:val="18"/>
                <w:szCs w:val="18"/>
              </w:rPr>
              <w:t>Ekran wentylacji pojedynczy na ruchomym wysięgniku lub wbudowany w przednią ścianę 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0"/>
                <w:sz w:val="18"/>
                <w:szCs w:val="18"/>
              </w:rPr>
              <w:t>Sposób sterowania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Ekran dotykowy – 2 pkt.,</w:t>
            </w:r>
          </w:p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inne rozwiązania – 1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Prezentacja prężności dwutlenku węgla, CO2 w strumieniu wdechowym i wydechowym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Obrazowanie krzywej koncentracji anestetyku wziewnego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Obrazowanie krzywej ciśnienia w drogach oddechowych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0"/>
                <w:sz w:val="18"/>
                <w:szCs w:val="18"/>
              </w:rPr>
              <w:t>Prezentacja trendów parametrów mierzonych [godz.]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min. 6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10 [godz.] i więcej – 2 pkt.,</w:t>
            </w:r>
          </w:p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mniej niż 10 [godz.] – 1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Funkcja optymalnego doboru przepływu świeżych gazów, np. w technice Low Flow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0A2BFE" w:rsidRDefault="00CC7799" w:rsidP="002C6476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INNE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Parowniki do sevofluranu i izofluranu</w:t>
            </w:r>
          </w:p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pacing w:line="360" w:lineRule="auto"/>
              <w:rPr>
                <w:rFonts w:ascii="Garamond" w:hAnsi="Garamond" w:cs="Arial"/>
                <w:kern w:val="2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kern w:val="20"/>
                <w:sz w:val="18"/>
                <w:szCs w:val="18"/>
              </w:rPr>
              <w:t>Klasyczne – 2 pkt.,</w:t>
            </w:r>
          </w:p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kern w:val="20"/>
                <w:sz w:val="18"/>
                <w:szCs w:val="18"/>
              </w:rPr>
              <w:t>elektroniczne – 1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80.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Komunikacja z aparatem w języku polskim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81.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0A2BFE" w:rsidRDefault="00CC7799" w:rsidP="002C6476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Aparaty do znieczulenia ogólnego oraz kardiomonitory funkcji życiowych– jednego producenta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0A2BFE" w:rsidRDefault="00CC7799" w:rsidP="002C6476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 xml:space="preserve">KARDIOMONITOR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Kardiomonitor modułowy min. 15 [‘] (działający w systemie wymiennych modułów pomiarowych) dedykowany do zastosowań w obszarze intensywnej terapii i bloku operacyjnego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Wszystkie moduły przenoszone między monitorami </w:t>
            </w:r>
            <w:r w:rsidRPr="000A2BFE">
              <w:rPr>
                <w:rFonts w:ascii="Garamond" w:hAnsi="Garamond" w:cs="Arial"/>
                <w:sz w:val="18"/>
                <w:szCs w:val="18"/>
              </w:rPr>
              <w:br/>
              <w:t>w sposób zapewniający automatyczną zmianę konfiguracji ekranu, uwzględniającą pojawienie się odpowiednich parametrów, bez zakłócania pracy monitora.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Sterowanie funkcjami pomiarowymi dla wszystkich wymaganych parametrów – bezpośrednio z ekranu zaoferowanego monitora </w:t>
            </w:r>
          </w:p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UWAGA:</w:t>
            </w:r>
            <w:r w:rsidRPr="000A2BF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 w:cs="Arial"/>
                <w:i/>
                <w:sz w:val="18"/>
                <w:szCs w:val="18"/>
              </w:rPr>
              <w:t xml:space="preserve">nie dotyczy pomiarów dopuszczonych </w:t>
            </w:r>
            <w:r w:rsidRPr="000A2BFE">
              <w:rPr>
                <w:rFonts w:ascii="Garamond" w:hAnsi="Garamond" w:cs="Arial"/>
                <w:i/>
                <w:sz w:val="18"/>
                <w:szCs w:val="18"/>
              </w:rPr>
              <w:br/>
              <w:t>w formie urządzeń zewnętrznych</w:t>
            </w:r>
            <w:r w:rsidRPr="000A2BFE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W zestawie do każdego monitora uchwyt montażowy umożliwiający regulację położenia monitora w płaszczyźnie pionowej i poziomej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Monitor przystosowany do dezynfekcji i odkażania. </w:t>
            </w:r>
          </w:p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</w:p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b/>
                <w:sz w:val="18"/>
                <w:szCs w:val="18"/>
              </w:rPr>
              <w:t>UWAGA:</w:t>
            </w:r>
            <w:r w:rsidRPr="000A2BF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 w:cs="Arial"/>
                <w:i/>
                <w:sz w:val="18"/>
                <w:szCs w:val="18"/>
              </w:rPr>
              <w:t>Podać środki dezynfekcyjne (min. 2 – nazwy i producenci) dopuszczone do stosowania przez producenta urządzenia.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Kompatybilność modułów pomiarowych dla wszystkich oferowanych kardiomonitorów (dotyczy modułów pomiarowych dla min.: EKG, inwazyjny i nieinwazyjny pomiar ciśnienia krwi, saturacja, temperatura, kapnografia)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Wszystkie akcesoria pomiarowe kompatybilne ze wszystkimi oferowanymi monitorami oraz z elementem/modułem transportowym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Możliwość jednoczesnego monitorowania co najmniej następujących </w:t>
            </w:r>
          </w:p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EKG (3/7/12 odprowadzeń)/ST/Arytmia,</w:t>
            </w:r>
          </w:p>
          <w:p w:rsidR="00CC7799" w:rsidRPr="000A2BFE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oddech,</w:t>
            </w:r>
          </w:p>
          <w:p w:rsidR="00CC7799" w:rsidRPr="000A2BFE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saturacja krwi SpO2,</w:t>
            </w:r>
          </w:p>
          <w:p w:rsidR="00CC7799" w:rsidRPr="000A2BFE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ciśnienie krwi metodą nieinwazyjną,</w:t>
            </w:r>
          </w:p>
          <w:p w:rsidR="00CC7799" w:rsidRPr="000A2BFE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temperatura (dwa tory pomiarowe),</w:t>
            </w:r>
          </w:p>
          <w:p w:rsidR="00CC7799" w:rsidRPr="000A2BFE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ciśnienie metodą inwazyjną (przynajmniej 2 tory pomiarowe),</w:t>
            </w:r>
          </w:p>
          <w:p w:rsidR="00CC7799" w:rsidRPr="000A2BFE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głębokość uśpienia BIS lub entropia,</w:t>
            </w:r>
          </w:p>
          <w:p w:rsidR="00CC7799" w:rsidRPr="000A2BFE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pomiar transmisji nerwowo-mięśniowej NMT,</w:t>
            </w:r>
          </w:p>
          <w:p w:rsidR="00CC7799" w:rsidRPr="000A2BFE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ciągły rzut minutowy serca,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Oprogramowanie i pomiary kardiomonitora dostosowane do różnych kategorii wiekowych pacjentów (dziecko/dorosły)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Monitor  wyposażony w maksymalnie jeden ekran typu TFT:</w:t>
            </w:r>
          </w:p>
          <w:p w:rsidR="00CC7799" w:rsidRPr="000A2BFE" w:rsidRDefault="00CC7799" w:rsidP="00CC7799">
            <w:pPr>
              <w:pStyle w:val="Standard"/>
              <w:numPr>
                <w:ilvl w:val="0"/>
                <w:numId w:val="19"/>
              </w:numPr>
              <w:spacing w:line="288" w:lineRule="auto"/>
              <w:ind w:left="0" w:firstLine="0"/>
              <w:rPr>
                <w:rFonts w:ascii="Garamond" w:hAnsi="Garamond" w:cs="Arial"/>
                <w:color w:val="00B0F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przekątna ekranu min. 15["], </w:t>
            </w:r>
          </w:p>
          <w:p w:rsidR="00CC7799" w:rsidRPr="000A2BFE" w:rsidRDefault="00CC7799" w:rsidP="00CC7799">
            <w:pPr>
              <w:pStyle w:val="Standard"/>
              <w:numPr>
                <w:ilvl w:val="0"/>
                <w:numId w:val="19"/>
              </w:numPr>
              <w:spacing w:line="288" w:lineRule="auto"/>
              <w:ind w:left="0" w:firstLine="0"/>
              <w:rPr>
                <w:rFonts w:ascii="Garamond" w:hAnsi="Garamond" w:cs="Arial"/>
                <w:color w:val="00B0F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rozdzielczość min. 1024x768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Komunikacja monitora z użytkownikiem w języku polskim, obsługa i sterowanie monitorem poprzez ekran dotykowy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after="120"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Kardiomonitory wyposażone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br/>
              <w:t>w element/moduł transportowy</w:t>
            </w:r>
            <w:r w:rsidRPr="000A2BFE">
              <w:rPr>
                <w:rFonts w:ascii="Garamond" w:hAnsi="Garamond"/>
                <w:b/>
                <w:color w:val="00000A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zabierany z pacjentem na czas transportu, zapewniający ciągłość monitorowania 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(bez jakichkolwiek przerw)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przynajmniej podstawowych parametrów (EKG, Oddech, NIBP, IBP, SpO2, temperatura), o masie wraz z akumulatorem 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nieprzekraczającej 5 [kg].</w:t>
            </w:r>
          </w:p>
          <w:p w:rsidR="00CC7799" w:rsidRPr="000A2BFE" w:rsidRDefault="00CC7799" w:rsidP="002C6476">
            <w:pPr>
              <w:pStyle w:val="Default"/>
              <w:spacing w:after="120"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Zasilanie akumulatorowe elementu/modułu transportowego min. 3 [godz.].</w:t>
            </w:r>
          </w:p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FF0000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Element/moduł transportowy chłodzony konwekcyjne, bez użycia wentylatora.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19.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Co najmniej 5 niezależnych konfiguracji ekranu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br/>
              <w:t>z możliwością łatwego ich przełączania bez utraty danych pacjenta.</w:t>
            </w:r>
          </w:p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Poszczególne konfiguracje programowane przez użytkownika, bez konieczności wzywania autoryzowanego serwisu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FF0000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Pamięć różnych zestawów konfiguracji ekranu i innych funkcji monitora z łatwym przełączaniem 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oraz możliwość ich modyfikacji w trakcie pracy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Minimum 6 różnych krzywych dynamicznych wyświetlanych na ekranie jednocześnie (bez użycia funkcji 12 odprowadzeń EKG)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Oprogramowanie umożliwiające tworzenie raportów z przebiegu monitorowania – drukowanie na centralnej drukarce oraz na sieciowej drukarce laserowej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Monitor dostosowany do pracy w systemie centralnego monitorowania, wyposażony w kartę sieciową do połączenia ze stacją centralnego monitorowania i innymi monitorami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Monitor posiadający możliwość jednoczesnego podłączenia co najmniej 3 zewnętrznych urządzeń medycznych z grupy:</w:t>
            </w:r>
          </w:p>
          <w:p w:rsidR="00CC7799" w:rsidRPr="000A2BFE" w:rsidRDefault="00CC7799" w:rsidP="00CC7799">
            <w:pPr>
              <w:pStyle w:val="Default"/>
              <w:numPr>
                <w:ilvl w:val="0"/>
                <w:numId w:val="20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lastRenderedPageBreak/>
              <w:t>respirator lub aparat do znieczulania (sale operacyjne),</w:t>
            </w:r>
          </w:p>
          <w:p w:rsidR="00CC7799" w:rsidRPr="000A2BFE" w:rsidRDefault="00CC7799" w:rsidP="00CC7799">
            <w:pPr>
              <w:pStyle w:val="Default"/>
              <w:numPr>
                <w:ilvl w:val="0"/>
                <w:numId w:val="20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pompa infuzyjna,</w:t>
            </w:r>
          </w:p>
          <w:p w:rsidR="00CC7799" w:rsidRPr="000A2BFE" w:rsidRDefault="00CC7799" w:rsidP="00CC7799">
            <w:pPr>
              <w:pStyle w:val="Default"/>
              <w:numPr>
                <w:ilvl w:val="0"/>
                <w:numId w:val="20"/>
              </w:numPr>
              <w:spacing w:after="60"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monitor hemodynamiczny (ciągłego rzutu minutowego serca).</w:t>
            </w:r>
          </w:p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color w:val="auto"/>
                <w:sz w:val="18"/>
                <w:szCs w:val="18"/>
              </w:rPr>
              <w:t>UWAGA: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/>
                <w:i/>
                <w:color w:val="auto"/>
                <w:sz w:val="18"/>
                <w:szCs w:val="18"/>
              </w:rPr>
              <w:t>podłączenie musi umożliwiać odczyt danych pomiarowych z urządzeń zewnętrznych na ekranie monitora oraz  przesyłanie ich do stacji centralnego monitorowania i systemów szpitalnych poprzez protokół HL7.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25.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after="60"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Monitor z możliwością rozbudowy o dostęp do szpitalnego systemu bazy danych z komputerową historią choroby pacjenta.</w:t>
            </w:r>
          </w:p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color w:val="auto"/>
                <w:sz w:val="18"/>
                <w:szCs w:val="18"/>
              </w:rPr>
              <w:t>UWAGA: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/>
                <w:i/>
                <w:color w:val="00000A"/>
                <w:sz w:val="18"/>
                <w:szCs w:val="18"/>
              </w:rPr>
              <w:t xml:space="preserve">możliwość dostępu oznacza podgląd </w:t>
            </w:r>
            <w:r w:rsidRPr="000A2BFE">
              <w:rPr>
                <w:rFonts w:ascii="Garamond" w:hAnsi="Garamond"/>
                <w:i/>
                <w:color w:val="00000A"/>
                <w:sz w:val="18"/>
                <w:szCs w:val="18"/>
              </w:rPr>
              <w:br/>
              <w:t>i dokonywanie wpisów, zleceń, itp. danych.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Monitor z możliwością  rozbudowy o dostęp do udostępnianych w sieci informacji z systemu HIS – Hospital Information System za pośrednictwem standardowego interfejsu HL7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Monitor z możliwością rozbudowy o dostęp do obrazów radiologicznych i innych z diagnostyki obrazowej udostępnianych w sieci Intranet przez szpital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Komunikacja pomiędzy monitorami – w postaci co najmniej podglądu danych i sygnalizacji alarmów występujących w innych monitorach znajdujących się w sieci monitorowania.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29.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Trendy wszystkich monitorowanych parametrów w postaci cyfrowej i graficznej z ostatnich minimum 24 [godz.]</w:t>
            </w:r>
          </w:p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Możliwość wyświetlania trendów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br/>
              <w:t>w zaprogramowanych grupach.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Historia alarmów  - min. 50 przypadków wraz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br/>
              <w:t>z min. 4 krzywymi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32.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Czasowe wyciszenie alarmów.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Automatyczne ustawianie granic alarmowych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br/>
              <w:t xml:space="preserve">w monitorze w stosunku do aktualnych pomiarów pacjenta. </w:t>
            </w:r>
          </w:p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Ręczne ustawianie granic alarmów.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sz w:val="18"/>
                <w:szCs w:val="18"/>
              </w:rPr>
              <w:t>Pomiar EKG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Monitorowanie 12 odprowadzeń EKG – wyświetlanie od 1 do 12 odprowadzeń jednocześnie – programowane przez użytkownika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Wieloodprowadzeniowa analiza EKG do zliczania częstości akcji serca i do analizy arytmii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Minimum 2 odprowadzenia analizowane jednocześnie, z możliwością używania tylko 1-go odprowadzenia do analizy.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39.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Klasyfikacja minimum 12 rodzajów zaburzeń rytmu wraz z alarmami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Wartość wymagana – 1 pkt.,</w:t>
            </w:r>
          </w:p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wyższa niż wymagana – 2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Pomiaru pulsu z sygnału EKG [1/min]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</w:t>
            </w:r>
          </w:p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zakres min. od 20 </w:t>
            </w: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br/>
              <w:t>do 300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Analiza odcinka ST z wszystkich 12-tu odprowadzeń (w przypadku monitorowania 12-tu odprowadzeń)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br/>
              <w:t xml:space="preserve">z prezentacją w czasie rzeczywistym (krzywe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br/>
              <w:t>i wartości odcinka ST)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Monitorowanie ST – z każdego monitorowanego odprowadzenia[mm]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</w:t>
            </w: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 </w:t>
            </w:r>
          </w:p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zakres min. od -10,0 </w:t>
            </w: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br/>
              <w:t>do +10,0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W komplecie dla każdego monitora wielorazowy przewód EKG 3 odprowadzeniowy oraz wielorazowy przewód do 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lastRenderedPageBreak/>
              <w:t xml:space="preserve">monitorowania 12 odprowadzeń EKG 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br/>
              <w:t>(5- lub 6- lub 12-elektrodowy)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sz w:val="18"/>
                <w:szCs w:val="18"/>
              </w:rPr>
              <w:t xml:space="preserve">Pomiar </w:t>
            </w:r>
            <w:r w:rsidRPr="000A2BFE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 xml:space="preserve">częstości oddechu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49.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sz w:val="18"/>
                <w:szCs w:val="18"/>
              </w:rPr>
              <w:t xml:space="preserve">Pomiar </w:t>
            </w:r>
            <w:r w:rsidRPr="000A2BFE">
              <w:rPr>
                <w:rFonts w:ascii="Garamond" w:hAnsi="Garamond"/>
                <w:bCs/>
                <w:color w:val="00000A"/>
                <w:sz w:val="18"/>
                <w:szCs w:val="18"/>
              </w:rPr>
              <w:t>częstości oddechu metodą impedancyjną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Wyświetlane wartości cyfrowe i fala oddechu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Minimalny zakres pomiarowy [odd./min]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  <w:r w:rsidRPr="000A2BFE">
              <w:rPr>
                <w:rFonts w:ascii="Garamond" w:hAnsi="Garamond" w:cs="Arial"/>
                <w:color w:val="00000A"/>
                <w:sz w:val="18"/>
                <w:szCs w:val="18"/>
                <w:lang w:val="en-US"/>
              </w:rPr>
              <w:t xml:space="preserve"> </w:t>
            </w:r>
          </w:p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t>od 1 do 150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Dokładność pomiaru w zakresie min. od 1 do 120 [odd./min] nie gorsza niż +/-1 oddech lub 2% pomiaru (w zależności od tego, która dokładność jest lepsza)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sz w:val="18"/>
                <w:szCs w:val="18"/>
              </w:rPr>
              <w:t xml:space="preserve">Pomiar </w:t>
            </w:r>
            <w:r w:rsidRPr="000A2BFE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saturacji SpO2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sz w:val="18"/>
                <w:szCs w:val="18"/>
              </w:rPr>
              <w:t xml:space="preserve">Pomiar </w:t>
            </w:r>
            <w:r w:rsidRPr="000A2BFE">
              <w:rPr>
                <w:rFonts w:ascii="Garamond" w:hAnsi="Garamond"/>
                <w:bCs/>
                <w:color w:val="00000A"/>
                <w:sz w:val="18"/>
                <w:szCs w:val="18"/>
              </w:rPr>
              <w:t>saturacji SpO2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Algorytm pomiarowy odporny na niską perfuzję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br/>
              <w:t>i artefakty ruchowe oparty na technologiach: Masimo lub Nellcor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Technologia Nellcor – 2 pkt.,</w:t>
            </w:r>
          </w:p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Technologia Masimo – 1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Wyświetlane wartości cyfrowe saturacji tętna i krzywa pletyzmograficzna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Alarm desaturacji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Możliwość podłączenia drugiego modułu do pomiaru saturacji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59.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W komplecie dla każdego monitora wielorazowy czujnik pomiarowy na palec oraz 10 [szt.] wielorazowych czujników na ucho na wszystkie stanowiska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Nieinwazyjny pomiar ciśnienia krwi NIBP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bCs/>
                <w:color w:val="00000A"/>
                <w:sz w:val="18"/>
                <w:szCs w:val="18"/>
              </w:rPr>
              <w:t>Nieinwazyjny pomiar ciśnienia krwi NIBP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61.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Pomiar na żądanie, automatyczny co określony czas, ciągłe pomiary przez określony czas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Z funkcją stazy żylnej – 1 pkt.,</w:t>
            </w:r>
          </w:p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brak stazy żylnej – 0 pkt.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Zakres odstępów czasowych automatycznych pomiarów przynajmniej w zakresie 1 [minuta] – 4 [godziny]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W komplecie do każdego monitora przewód i zestaw 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br/>
              <w:t xml:space="preserve">4 wielorazowych mankietów dla dorosłych: </w:t>
            </w:r>
          </w:p>
          <w:p w:rsidR="00CC7799" w:rsidRPr="000A2BFE" w:rsidRDefault="00CC7799" w:rsidP="00CC7799">
            <w:pPr>
              <w:pStyle w:val="Default"/>
              <w:numPr>
                <w:ilvl w:val="0"/>
                <w:numId w:val="21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1 x mały, </w:t>
            </w:r>
          </w:p>
          <w:p w:rsidR="00CC7799" w:rsidRPr="000A2BFE" w:rsidRDefault="00CC7799" w:rsidP="00CC7799">
            <w:pPr>
              <w:pStyle w:val="Default"/>
              <w:numPr>
                <w:ilvl w:val="0"/>
                <w:numId w:val="21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2 x standard, </w:t>
            </w:r>
          </w:p>
          <w:p w:rsidR="00CC7799" w:rsidRPr="000A2BFE" w:rsidRDefault="00CC7799" w:rsidP="00CC7799">
            <w:pPr>
              <w:pStyle w:val="Default"/>
              <w:numPr>
                <w:ilvl w:val="0"/>
                <w:numId w:val="21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1 x duży.</w:t>
            </w:r>
          </w:p>
          <w:p w:rsidR="00CC7799" w:rsidRPr="000A2BFE" w:rsidRDefault="00CC7799" w:rsidP="002C6476">
            <w:pPr>
              <w:pStyle w:val="Default"/>
              <w:spacing w:before="60"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color w:val="auto"/>
                <w:sz w:val="18"/>
                <w:szCs w:val="18"/>
              </w:rPr>
              <w:t>UWAGA: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/>
                <w:i/>
                <w:color w:val="auto"/>
                <w:sz w:val="18"/>
                <w:szCs w:val="18"/>
              </w:rPr>
              <w:t>mankiety pomiarowe wolne od lateksu.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Pomiar temperatury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bCs/>
                <w:color w:val="00000A"/>
                <w:sz w:val="18"/>
                <w:szCs w:val="18"/>
              </w:rPr>
              <w:t>Pomiar temperatury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Zakres pomiarowy [°C]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  <w:r w:rsidRPr="000A2BFE">
              <w:rPr>
                <w:rFonts w:ascii="Garamond" w:hAnsi="Garamond" w:cs="Arial"/>
                <w:color w:val="00000A"/>
                <w:sz w:val="18"/>
                <w:szCs w:val="18"/>
                <w:lang w:val="en-US"/>
              </w:rPr>
              <w:t xml:space="preserve"> </w:t>
            </w:r>
          </w:p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t>min.: 0 – 45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Min. 2 tory pomiarowe temperatury – w komplecie do każdego monitora czujnik do pomiaru temperatury powierzchniowej i centralnej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Inwazyjny pomiar ciśnienia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bCs/>
                <w:color w:val="00000A"/>
                <w:sz w:val="18"/>
                <w:szCs w:val="18"/>
              </w:rPr>
              <w:t>Inwazyjny pomiar ciśnienia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69.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jc w:val="both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Zakres pomiarowy ciśnienia minimum [mmHg]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min. </w:t>
            </w:r>
          </w:p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od –40 </w:t>
            </w: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br/>
              <w:t>do +300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Minimum 2 tory pomiarowe IBP z możliwością rozbudowy do 4 torów w kardiomonitorach na sale operacyjne i OIT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71.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Minimum 1 tor pomiarowy IBP w kardiomonitorach na OIOK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Każdy monitor wyposażony w 1 kabel IBP na każdy zaoferowany kanał pomiarowy oraz zestaw 20 [szt.] przetworników jednorazowych do pomiaru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bCs/>
                <w:color w:val="auto"/>
                <w:sz w:val="18"/>
                <w:szCs w:val="18"/>
              </w:rPr>
              <w:t xml:space="preserve">Ciągły pomiar rzutu minutowego serca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bCs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bCs/>
                <w:color w:val="auto"/>
                <w:sz w:val="18"/>
                <w:szCs w:val="18"/>
              </w:rPr>
              <w:t xml:space="preserve">Ciągły pomiar rzutu minutowego serca metodą PICCO </w:t>
            </w:r>
          </w:p>
          <w:p w:rsidR="00CC7799" w:rsidRPr="000A2BFE" w:rsidRDefault="00CC7799" w:rsidP="002C6476">
            <w:pPr>
              <w:pStyle w:val="Default"/>
              <w:spacing w:before="60"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W skład mierzonych parametrów muszą wchodzić minimum następujące: Ciągły rzut serca, Systemowy opór naczyniowy, Objętość wyrzutowa/Indeks, Zmienność objętości wyrzutowej, Zmienność ciśnienia tętna, Objętość krwi w klatce piersiowej, Pozanaczyniowa woda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W zestawie dla każdego modułu przewody do podłączenia czujników jednorazowych oraz zestaw 5 czujników jednorazowych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Pomiar stężenia wdechowo-wydechowego CO2 (kapnografii)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79.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bCs/>
                <w:color w:val="00000A"/>
                <w:sz w:val="18"/>
                <w:szCs w:val="18"/>
              </w:rPr>
              <w:t>Pomiar stężenia wdechowo-wydechowego CO2 (kapnografii)</w:t>
            </w:r>
            <w:r w:rsidRPr="000A2BFE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/>
                <w:bCs/>
                <w:color w:val="00000A"/>
                <w:sz w:val="18"/>
                <w:szCs w:val="18"/>
              </w:rPr>
              <w:t>– pomiar w strumieniu bocznym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80.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Zakres pomiarowy [mmHg]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t>min. od 0 do 99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81.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Prezentacja cyfrowa pomiaru oraz prezentacja krzywej kapnograficznej.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82.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Wykrywanie bezdechów z regulowanym czasem tolerancji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83.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Moduł kompatybilny z monitorami zaoferowanymi na salę wybudzeń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84.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Pomiar nie wymagający kalibracji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lastRenderedPageBreak/>
              <w:t>85.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W zestawie do każdego modułu min. 10 [szt.] akcesoriów jednorazowych do pomiaru u pacjentów zaintubowanych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Pomiar entropii lub głębokości znieczulenia/sedacji metodą BIS/entropia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86.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bCs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bCs/>
                <w:color w:val="00000A"/>
                <w:sz w:val="18"/>
                <w:szCs w:val="18"/>
              </w:rPr>
              <w:t xml:space="preserve">Pomiar entropii lub głębokości znieczulenia/sedacji metodą BIS/entropia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87.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W zestawie do każdego modułu wielorazowy kabel pomiarowy oraz min. 5 czujników jednorazowych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jc w:val="both"/>
              <w:rPr>
                <w:rFonts w:ascii="Garamond" w:hAnsi="Garamond"/>
                <w:bCs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Pomiar zwiotczenia mięśniowego NMT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88.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jc w:val="both"/>
              <w:rPr>
                <w:rFonts w:ascii="Garamond" w:hAnsi="Garamond"/>
                <w:bCs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bCs/>
                <w:color w:val="00000A"/>
                <w:sz w:val="18"/>
                <w:szCs w:val="18"/>
              </w:rPr>
              <w:t xml:space="preserve">Pomiar zwiotczenia mięśniowego NMT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89.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jc w:val="both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Pomiar metodą ST, TOF i PTC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90.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Default"/>
              <w:spacing w:line="288" w:lineRule="auto"/>
              <w:jc w:val="both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W zestawie do każdego modułu wielorazowy kabel pomiarowy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0A2BFE" w:rsidRDefault="00CC7799" w:rsidP="002C6476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</w:tbl>
    <w:p w:rsidR="00CC7799" w:rsidRPr="000A2BFE" w:rsidRDefault="00CC7799" w:rsidP="00CC7799">
      <w:pPr>
        <w:rPr>
          <w:rFonts w:ascii="Garamond" w:hAnsi="Garamond"/>
          <w:sz w:val="18"/>
          <w:szCs w:val="18"/>
        </w:rPr>
      </w:pPr>
    </w:p>
    <w:p w:rsidR="00CC7799" w:rsidRPr="000A2BFE" w:rsidRDefault="00CC7799" w:rsidP="00CC7799">
      <w:pPr>
        <w:pStyle w:val="Standard"/>
        <w:spacing w:line="288" w:lineRule="auto"/>
        <w:rPr>
          <w:rFonts w:ascii="Garamond" w:hAnsi="Garamond" w:cstheme="minorHAnsi"/>
          <w:b/>
          <w:sz w:val="18"/>
          <w:szCs w:val="18"/>
        </w:rPr>
      </w:pPr>
      <w:r w:rsidRPr="000A2BFE">
        <w:rPr>
          <w:rFonts w:ascii="Garamond" w:hAnsi="Garamond" w:cstheme="minorHAnsi"/>
          <w:b/>
          <w:sz w:val="18"/>
          <w:szCs w:val="18"/>
        </w:rPr>
        <w:t xml:space="preserve">Warunki gwarancji i serwisu </w:t>
      </w:r>
    </w:p>
    <w:p w:rsidR="00CC7799" w:rsidRPr="000A2BFE" w:rsidRDefault="00CC7799" w:rsidP="00CC7799">
      <w:pPr>
        <w:pStyle w:val="Standard"/>
        <w:spacing w:line="288" w:lineRule="auto"/>
        <w:rPr>
          <w:rFonts w:ascii="Garamond" w:hAnsi="Garamond" w:cstheme="minorHAnsi"/>
          <w:b/>
          <w:sz w:val="18"/>
          <w:szCs w:val="18"/>
        </w:rPr>
      </w:pPr>
    </w:p>
    <w:tbl>
      <w:tblPr>
        <w:tblW w:w="1304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76"/>
        <w:gridCol w:w="1560"/>
        <w:gridCol w:w="3829"/>
        <w:gridCol w:w="2410"/>
      </w:tblGrid>
      <w:tr w:rsidR="00CC7799" w:rsidRPr="000A2BFE" w:rsidTr="002C647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7799" w:rsidRPr="000A2BFE" w:rsidRDefault="00CC7799" w:rsidP="002C6476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l.p.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7799" w:rsidRPr="000A2BFE" w:rsidRDefault="00CC7799" w:rsidP="002C6476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Parametr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7799" w:rsidRPr="000A2BFE" w:rsidRDefault="00CC7799" w:rsidP="002C6476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Parametr wymagany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7799" w:rsidRPr="000A2BFE" w:rsidRDefault="00CC7799" w:rsidP="002C6476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7799" w:rsidRPr="000A2BFE" w:rsidRDefault="00CC7799" w:rsidP="002C6476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Sposób oceny</w:t>
            </w:r>
          </w:p>
        </w:tc>
      </w:tr>
      <w:tr w:rsidR="00CC7799" w:rsidRPr="000A2BFE" w:rsidTr="002C6476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 xml:space="preserve">Gwarancja na aparat </w:t>
            </w:r>
            <w:r w:rsidR="00CB28EA">
              <w:rPr>
                <w:rFonts w:ascii="Garamond" w:hAnsi="Garamond" w:cstheme="minorHAnsi"/>
                <w:sz w:val="18"/>
                <w:szCs w:val="18"/>
              </w:rPr>
              <w:t>[miesiące]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&gt;= 12, 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C7799" w:rsidRPr="000A2BFE" w:rsidRDefault="00CC7799" w:rsidP="002C6476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24 miesiące i więcej – 5 pkt.</w:t>
            </w:r>
          </w:p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mniejsze wartości – 1 pkt.</w:t>
            </w:r>
          </w:p>
        </w:tc>
      </w:tr>
      <w:tr w:rsidR="00CC7799" w:rsidRPr="000A2BFE" w:rsidTr="002C647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Gwarancja min. 10–letniego dostępu do części zamiennych, materiałów eksploatacyjnych i akcesoriów oraz gwarancja aktualizacji oprogramowania do najnowszej, dostępnej wersji na rynku przez min. 12 miesięcy</w:t>
            </w:r>
            <w:r w:rsidRPr="000A2BFE">
              <w:rPr>
                <w:rFonts w:ascii="Garamond" w:hAnsi="Garamond" w:cstheme="minorHAnsi"/>
                <w:color w:val="FF0000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 w:cstheme="minorHAnsi"/>
                <w:sz w:val="18"/>
                <w:szCs w:val="18"/>
              </w:rPr>
              <w:t>od dnia odbioru, podczas każdego, wykonywanego przeglądu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Liczba przeglądów okresowych niezbędnych do wykonywania po upływie gwarancji dla potwierdzenia bezpiecznej eksploatacji aparatu – podać, opisać zakres.</w:t>
            </w:r>
          </w:p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lastRenderedPageBreak/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lastRenderedPageBreak/>
              <w:t>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C7799" w:rsidRPr="000A2BFE" w:rsidRDefault="00CC7799" w:rsidP="002C647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Maksymalny czas naprawy  nie może przekroczyć 10 dni roboczych, w przypadku naprawy dłuższej niż 5 dni roboczych – aparat zastępczy o min. identycznych parametrach lub lepszy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C7799" w:rsidRPr="000A2BFE" w:rsidRDefault="00CC7799" w:rsidP="002C647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9" w:rsidRPr="000A2BFE" w:rsidRDefault="00CC7799" w:rsidP="002C647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Możliwość zgłoszeń 24 godz/dobę, 365 dni/rok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Czas reakcji serwisu (przyjęte zgłoszenie – podjęta naprawa) 2 dni robocze.</w:t>
            </w:r>
          </w:p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tak, 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 xml:space="preserve">Szkolenia dla personelu  medycznego z zakresu obsługi urządzenia (8 osób) w momencie jego instalacji i odbioru; w razie potrzeby możliwość stałego wsparcia aplikacyjnego w początkowym okresie pracy urządzeń (dodatkowe szkolenie, dodatkowa grupa osób, konsultacje, itp. </w:t>
            </w:r>
            <w:r w:rsidR="00DF5615">
              <w:rPr>
                <w:rFonts w:ascii="Garamond" w:hAnsi="Garamond" w:cstheme="minorHAnsi"/>
                <w:sz w:val="18"/>
                <w:szCs w:val="18"/>
              </w:rPr>
              <w:t>również 8 osób</w:t>
            </w:r>
            <w:r w:rsidRPr="000A2BFE">
              <w:rPr>
                <w:rFonts w:ascii="Garamond" w:hAnsi="Garamond" w:cstheme="minorHAnsi"/>
                <w:sz w:val="18"/>
                <w:szCs w:val="18"/>
              </w:rPr>
              <w:t>) – potwierdzone certyfikatem.</w:t>
            </w:r>
          </w:p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i/>
                <w:sz w:val="18"/>
                <w:szCs w:val="18"/>
              </w:rPr>
              <w:t>uwaga (1) - Należy przewidzieć szkolenia w wymiarze do 2 dni roboczych oraz zapewnić możliwość stałego wsparcia aplikacyjnego</w:t>
            </w:r>
          </w:p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</w:p>
          <w:p w:rsidR="00CC7799" w:rsidRPr="000A2BFE" w:rsidRDefault="00CC7799" w:rsidP="002C6476">
            <w:pPr>
              <w:pStyle w:val="Akapitzlist"/>
              <w:spacing w:line="288" w:lineRule="auto"/>
              <w:ind w:left="0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i/>
                <w:sz w:val="18"/>
                <w:szCs w:val="18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Szkolenia dla personelu technicznego (pracownicy Działu Aparatury – 2 osoby) z zakresu diagnostyki stanu technicznego i wykonywania czynności konserwacyjnych, naprawczych i przeglądowych; w razie potrzeby możliwość stałego wsparcia aplikacyjnego w początkowym okresie pracy urządzeń (dodatkowe szkolenie, dodatkowa grupa osób, konsultacje, itp., również 2 osoby) – potwierdzone certyfikatem</w:t>
            </w:r>
          </w:p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i/>
                <w:sz w:val="18"/>
                <w:szCs w:val="18"/>
              </w:rPr>
              <w:t>uwaga (1) - Należy przewidzieć szkolenia w wymiarze do 2 dni roboczych oraz zapewnić możliwość stałego wsparcia aplikacyjnego</w:t>
            </w:r>
          </w:p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</w:p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i/>
                <w:sz w:val="18"/>
                <w:szCs w:val="18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</w:p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i/>
                <w:sz w:val="18"/>
                <w:szCs w:val="18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</w:t>
            </w:r>
            <w:r w:rsidRPr="000A2BFE">
              <w:rPr>
                <w:rFonts w:ascii="Garamond" w:hAnsi="Garamond" w:cstheme="minorHAnsi"/>
                <w:sz w:val="18"/>
                <w:szCs w:val="18"/>
              </w:rPr>
              <w:lastRenderedPageBreak/>
              <w:t xml:space="preserve">przeglądów, napraw z wymianą części, instalacji urządzeń peryferyjnych, akcesoriów, przystawek, itd.)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0A2BFE" w:rsidTr="002C647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0A2BFE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0A2BFE" w:rsidRDefault="00CC7799" w:rsidP="002C647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0A2BFE" w:rsidRDefault="00CC7799" w:rsidP="002C6476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</w:tbl>
    <w:p w:rsidR="00CC7799" w:rsidRPr="000A2BFE" w:rsidRDefault="00CC7799" w:rsidP="00CC7799">
      <w:pPr>
        <w:pStyle w:val="Standard"/>
        <w:spacing w:line="288" w:lineRule="auto"/>
        <w:rPr>
          <w:rFonts w:ascii="Garamond" w:hAnsi="Garamond" w:cstheme="minorHAnsi"/>
          <w:sz w:val="18"/>
          <w:szCs w:val="18"/>
        </w:rPr>
      </w:pPr>
    </w:p>
    <w:p w:rsidR="00CC7799" w:rsidRPr="000A2BFE" w:rsidRDefault="00CC7799" w:rsidP="00CC7799">
      <w:pPr>
        <w:rPr>
          <w:rFonts w:ascii="Garamond" w:hAnsi="Garamond"/>
          <w:sz w:val="18"/>
          <w:szCs w:val="18"/>
        </w:rPr>
      </w:pPr>
    </w:p>
    <w:p w:rsidR="004853A7" w:rsidRPr="000A2BFE" w:rsidRDefault="004853A7" w:rsidP="00CF024F">
      <w:pPr>
        <w:rPr>
          <w:rFonts w:ascii="Garamond" w:hAnsi="Garamond"/>
          <w:sz w:val="18"/>
          <w:szCs w:val="18"/>
        </w:rPr>
      </w:pPr>
    </w:p>
    <w:sectPr w:rsidR="004853A7" w:rsidRPr="000A2BFE" w:rsidSect="00D426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FD" w:rsidRDefault="006123FD" w:rsidP="00FC5DE8">
      <w:pPr>
        <w:spacing w:after="0" w:line="240" w:lineRule="auto"/>
      </w:pPr>
      <w:r>
        <w:separator/>
      </w:r>
    </w:p>
  </w:endnote>
  <w:endnote w:type="continuationSeparator" w:id="0">
    <w:p w:rsidR="006123FD" w:rsidRDefault="006123FD" w:rsidP="00FC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111998"/>
      <w:docPartObj>
        <w:docPartGallery w:val="Page Numbers (Bottom of Page)"/>
        <w:docPartUnique/>
      </w:docPartObj>
    </w:sdtPr>
    <w:sdtEndPr/>
    <w:sdtContent>
      <w:p w:rsidR="00321A48" w:rsidRPr="00396FC2" w:rsidRDefault="00321A48" w:rsidP="00321A48">
        <w:pPr>
          <w:pStyle w:val="Stopka"/>
          <w:ind w:right="360"/>
          <w:rPr>
            <w:rFonts w:ascii="Garamond" w:hAnsi="Garamond"/>
          </w:rPr>
        </w:pPr>
        <w:r w:rsidRPr="00396FC2">
          <w:rPr>
            <w:rFonts w:ascii="Garamond" w:hAnsi="Garamond"/>
          </w:rPr>
          <w:fldChar w:fldCharType="begin"/>
        </w:r>
        <w:r w:rsidRPr="00396FC2">
          <w:rPr>
            <w:rFonts w:ascii="Garamond" w:hAnsi="Garamond"/>
          </w:rPr>
          <w:instrText>PAGE   \* MERGEFORMAT</w:instrText>
        </w:r>
        <w:r w:rsidRPr="00396FC2">
          <w:rPr>
            <w:rFonts w:ascii="Garamond" w:hAnsi="Garamond"/>
          </w:rPr>
          <w:fldChar w:fldCharType="separate"/>
        </w:r>
        <w:r w:rsidR="00CB28EA">
          <w:rPr>
            <w:rFonts w:ascii="Garamond" w:hAnsi="Garamond"/>
            <w:noProof/>
          </w:rPr>
          <w:t>20</w:t>
        </w:r>
        <w:r w:rsidRPr="00396FC2">
          <w:rPr>
            <w:rFonts w:ascii="Garamond" w:hAnsi="Garamond"/>
          </w:rPr>
          <w:fldChar w:fldCharType="end"/>
        </w:r>
      </w:p>
      <w:p w:rsidR="00321A48" w:rsidRDefault="00321A48" w:rsidP="00321A48">
        <w:pPr>
          <w:pStyle w:val="Stopka"/>
          <w:rPr>
            <w:rFonts w:ascii="Garamond" w:hAnsi="Garamond"/>
            <w:i/>
            <w:iCs/>
          </w:rPr>
        </w:pPr>
      </w:p>
      <w:p w:rsidR="00321A48" w:rsidRPr="0097462E" w:rsidRDefault="00321A48" w:rsidP="00321A48">
        <w:pPr>
          <w:pStyle w:val="Stopka"/>
          <w:jc w:val="right"/>
        </w:pPr>
        <w:r>
          <w:rPr>
            <w:rFonts w:ascii="Garamond" w:hAnsi="Garamond"/>
            <w:i/>
            <w:iCs/>
          </w:rPr>
          <w:t>podpis i pieczęć osoby (osób) upoważnionej do reprezentowania Wykonawcy</w:t>
        </w:r>
      </w:p>
      <w:p w:rsidR="004853A7" w:rsidRDefault="006123FD">
        <w:pPr>
          <w:pStyle w:val="Stopka"/>
          <w:jc w:val="right"/>
        </w:pPr>
      </w:p>
    </w:sdtContent>
  </w:sdt>
  <w:p w:rsidR="004853A7" w:rsidRDefault="00485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FD" w:rsidRDefault="006123FD" w:rsidP="00FC5DE8">
      <w:pPr>
        <w:spacing w:after="0" w:line="240" w:lineRule="auto"/>
      </w:pPr>
      <w:r>
        <w:separator/>
      </w:r>
    </w:p>
  </w:footnote>
  <w:footnote w:type="continuationSeparator" w:id="0">
    <w:p w:rsidR="006123FD" w:rsidRDefault="006123FD" w:rsidP="00FC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48" w:rsidRDefault="00CF024F" w:rsidP="00321A48">
    <w:pPr>
      <w:pStyle w:val="Style"/>
      <w:tabs>
        <w:tab w:val="clear" w:pos="9072"/>
        <w:tab w:val="left" w:pos="8762"/>
        <w:tab w:val="right" w:pos="145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DFZP-BM-271-204</w:t>
    </w:r>
    <w:r w:rsidR="00321A48">
      <w:rPr>
        <w:rFonts w:ascii="Garamond" w:hAnsi="Garamond"/>
        <w:sz w:val="22"/>
        <w:szCs w:val="22"/>
      </w:rPr>
      <w:t>/2017                                                                                                                                                                     Załącznik nr 1a do specyfikacji</w:t>
    </w:r>
  </w:p>
  <w:p w:rsidR="00321A48" w:rsidRPr="00321A48" w:rsidRDefault="00321A48">
    <w:pPr>
      <w:pStyle w:val="Nagwek"/>
      <w:rPr>
        <w:rFonts w:ascii="Garamond" w:hAnsi="Garamond"/>
        <w:lang w:eastAsia="pl-PL"/>
      </w:rPr>
    </w:pP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  <w:t>Załącznik nr …… do umowy</w:t>
    </w:r>
  </w:p>
  <w:p w:rsidR="00321A48" w:rsidRDefault="00321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317873"/>
    <w:multiLevelType w:val="hybridMultilevel"/>
    <w:tmpl w:val="67689014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52070"/>
    <w:multiLevelType w:val="hybridMultilevel"/>
    <w:tmpl w:val="EF96134E"/>
    <w:lvl w:ilvl="0" w:tplc="002CE4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65CED"/>
    <w:multiLevelType w:val="hybridMultilevel"/>
    <w:tmpl w:val="47E23F76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036B5"/>
    <w:multiLevelType w:val="hybridMultilevel"/>
    <w:tmpl w:val="E276560C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27A87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B5E1C"/>
    <w:multiLevelType w:val="hybridMultilevel"/>
    <w:tmpl w:val="6CBE2FF4"/>
    <w:lvl w:ilvl="0" w:tplc="15F0E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D0BFE"/>
    <w:multiLevelType w:val="multilevel"/>
    <w:tmpl w:val="A70883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lang w:val="x-none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  <w:lang w:val="x-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  <w:lang w:val="x-none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lang w:val="x-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lang w:val="x-none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  <w:lang w:val="x-none"/>
      </w:rPr>
    </w:lvl>
  </w:abstractNum>
  <w:abstractNum w:abstractNumId="9" w15:restartNumberingAfterBreak="0">
    <w:nsid w:val="2C643EFA"/>
    <w:multiLevelType w:val="hybridMultilevel"/>
    <w:tmpl w:val="0812F2D6"/>
    <w:lvl w:ilvl="0" w:tplc="9EE2E2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48CD3090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92153"/>
    <w:multiLevelType w:val="hybridMultilevel"/>
    <w:tmpl w:val="FAFE7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6C9A"/>
    <w:multiLevelType w:val="hybridMultilevel"/>
    <w:tmpl w:val="4EB8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A21339"/>
    <w:multiLevelType w:val="hybridMultilevel"/>
    <w:tmpl w:val="2A5A2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75217"/>
    <w:multiLevelType w:val="hybridMultilevel"/>
    <w:tmpl w:val="2B084AA8"/>
    <w:lvl w:ilvl="0" w:tplc="7846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065EC"/>
    <w:multiLevelType w:val="hybridMultilevel"/>
    <w:tmpl w:val="B0FC34C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F17D2"/>
    <w:multiLevelType w:val="hybridMultilevel"/>
    <w:tmpl w:val="0CC2B856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A774D"/>
    <w:multiLevelType w:val="hybridMultilevel"/>
    <w:tmpl w:val="0D827FF4"/>
    <w:lvl w:ilvl="0" w:tplc="0415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</w:num>
  <w:num w:numId="5">
    <w:abstractNumId w:val="2"/>
  </w:num>
  <w:num w:numId="6">
    <w:abstractNumId w:val="18"/>
  </w:num>
  <w:num w:numId="7">
    <w:abstractNumId w:val="9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D5"/>
    <w:rsid w:val="00011CBD"/>
    <w:rsid w:val="00033923"/>
    <w:rsid w:val="00092C6D"/>
    <w:rsid w:val="000A2BFE"/>
    <w:rsid w:val="001200D7"/>
    <w:rsid w:val="0020451A"/>
    <w:rsid w:val="00214B82"/>
    <w:rsid w:val="002267F6"/>
    <w:rsid w:val="0025608B"/>
    <w:rsid w:val="00263C3D"/>
    <w:rsid w:val="00265A6C"/>
    <w:rsid w:val="002A4097"/>
    <w:rsid w:val="002B44EB"/>
    <w:rsid w:val="002F4A85"/>
    <w:rsid w:val="003051B2"/>
    <w:rsid w:val="00321A48"/>
    <w:rsid w:val="00386BDE"/>
    <w:rsid w:val="004853A7"/>
    <w:rsid w:val="00486F02"/>
    <w:rsid w:val="004A2FE6"/>
    <w:rsid w:val="004B43E2"/>
    <w:rsid w:val="004C53BF"/>
    <w:rsid w:val="00536EE3"/>
    <w:rsid w:val="005D24AB"/>
    <w:rsid w:val="006123FD"/>
    <w:rsid w:val="006C5870"/>
    <w:rsid w:val="00730651"/>
    <w:rsid w:val="007E046A"/>
    <w:rsid w:val="008104FF"/>
    <w:rsid w:val="00812580"/>
    <w:rsid w:val="00897EFA"/>
    <w:rsid w:val="008B7CF1"/>
    <w:rsid w:val="008E024B"/>
    <w:rsid w:val="009A4E80"/>
    <w:rsid w:val="00A96134"/>
    <w:rsid w:val="00AE241A"/>
    <w:rsid w:val="00B22BCD"/>
    <w:rsid w:val="00B26347"/>
    <w:rsid w:val="00B77552"/>
    <w:rsid w:val="00B8719C"/>
    <w:rsid w:val="00BD72C1"/>
    <w:rsid w:val="00C114DF"/>
    <w:rsid w:val="00C43EB8"/>
    <w:rsid w:val="00C648BE"/>
    <w:rsid w:val="00C95E77"/>
    <w:rsid w:val="00CB28EA"/>
    <w:rsid w:val="00CC7799"/>
    <w:rsid w:val="00CF024F"/>
    <w:rsid w:val="00CF3A37"/>
    <w:rsid w:val="00D22676"/>
    <w:rsid w:val="00D2680D"/>
    <w:rsid w:val="00D42625"/>
    <w:rsid w:val="00D763E7"/>
    <w:rsid w:val="00D973D5"/>
    <w:rsid w:val="00DF5615"/>
    <w:rsid w:val="00E60DFD"/>
    <w:rsid w:val="00EC04D6"/>
    <w:rsid w:val="00F41B85"/>
    <w:rsid w:val="00F95E14"/>
    <w:rsid w:val="00FC5DE8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9D09"/>
  <w15:docId w15:val="{C6B9507F-CDA4-4ADD-A5EE-01B9F12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625"/>
  </w:style>
  <w:style w:type="paragraph" w:styleId="Nagwek2">
    <w:name w:val="heading 2"/>
    <w:basedOn w:val="Normalny"/>
    <w:next w:val="Tekstpodstawowy"/>
    <w:link w:val="Nagwek2Znak"/>
    <w:unhideWhenUsed/>
    <w:qFormat/>
    <w:rsid w:val="003051B2"/>
    <w:pPr>
      <w:keepNext/>
      <w:keepLines/>
      <w:widowControl w:val="0"/>
      <w:tabs>
        <w:tab w:val="num" w:pos="0"/>
      </w:tabs>
      <w:suppressAutoHyphens/>
      <w:autoSpaceDE w:val="0"/>
      <w:spacing w:before="160" w:after="120" w:line="240" w:lineRule="auto"/>
      <w:outlineLvl w:val="1"/>
    </w:pPr>
    <w:rPr>
      <w:rFonts w:ascii="Arial" w:eastAsia="Times New Roman" w:hAnsi="Arial" w:cs="Calibri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D42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D426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26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6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D4262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2625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C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DE8"/>
  </w:style>
  <w:style w:type="table" w:styleId="Tabela-Siatka">
    <w:name w:val="Table Grid"/>
    <w:basedOn w:val="Standardowy"/>
    <w:uiPriority w:val="59"/>
    <w:rsid w:val="0048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4097"/>
    <w:pPr>
      <w:ind w:left="720"/>
      <w:contextualSpacing/>
    </w:pPr>
  </w:style>
  <w:style w:type="paragraph" w:customStyle="1" w:styleId="Style">
    <w:name w:val="Style"/>
    <w:basedOn w:val="Normalny"/>
    <w:next w:val="Nagwek"/>
    <w:rsid w:val="00321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">
    <w:name w:val="WW8Num2"/>
    <w:rsid w:val="008104FF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rsid w:val="003051B2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customStyle="1" w:styleId="Normalny1">
    <w:name w:val="Normalny1"/>
    <w:rsid w:val="00305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NormalnyWeb">
    <w:name w:val="Normal (Web)"/>
    <w:basedOn w:val="Normalny"/>
    <w:unhideWhenUsed/>
    <w:rsid w:val="003051B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3051B2"/>
    <w:pPr>
      <w:jc w:val="center"/>
    </w:pPr>
    <w:rPr>
      <w:rFonts w:ascii="Garamond" w:hAnsi="Garamond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051B2"/>
    <w:rPr>
      <w:rFonts w:ascii="Garamond" w:eastAsia="Times New Roman" w:hAnsi="Garamond" w:cs="Times New Roman"/>
      <w:b/>
      <w:kern w:val="3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51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1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51B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05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1B2"/>
  </w:style>
  <w:style w:type="paragraph" w:customStyle="1" w:styleId="TableContents">
    <w:name w:val="Table Contents"/>
    <w:basedOn w:val="Standard"/>
    <w:rsid w:val="003051B2"/>
    <w:pPr>
      <w:suppressLineNumbers/>
    </w:pPr>
  </w:style>
  <w:style w:type="paragraph" w:customStyle="1" w:styleId="Zawartotabeli">
    <w:name w:val="Zawartość tabeli"/>
    <w:basedOn w:val="Normalny"/>
    <w:rsid w:val="00CC779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CC7799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A363-48E1-40E5-9041-05B45323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3459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Magdalena Leśniak</cp:lastModifiedBy>
  <cp:revision>2</cp:revision>
  <cp:lastPrinted>2017-10-02T08:32:00Z</cp:lastPrinted>
  <dcterms:created xsi:type="dcterms:W3CDTF">2017-10-25T09:33:00Z</dcterms:created>
  <dcterms:modified xsi:type="dcterms:W3CDTF">2017-10-25T09:33:00Z</dcterms:modified>
</cp:coreProperties>
</file>