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06" w:rsidRPr="007476A4" w:rsidRDefault="00431206" w:rsidP="00431206">
      <w:pPr>
        <w:pStyle w:val="Tytu"/>
        <w:spacing w:line="288" w:lineRule="auto"/>
        <w:rPr>
          <w:rFonts w:ascii="Century Gothic" w:hAnsi="Century Gothic"/>
          <w:sz w:val="18"/>
          <w:szCs w:val="18"/>
        </w:rPr>
      </w:pPr>
      <w:r w:rsidRPr="007476A4">
        <w:rPr>
          <w:rFonts w:ascii="Century Gothic" w:hAnsi="Century Gothic"/>
          <w:sz w:val="18"/>
          <w:szCs w:val="18"/>
        </w:rPr>
        <w:t>OPIS PRZEDMIOTU ZAMÓWIENIA</w:t>
      </w:r>
    </w:p>
    <w:p w:rsidR="00431206" w:rsidRPr="007476A4" w:rsidRDefault="00596231" w:rsidP="00596231">
      <w:pPr>
        <w:tabs>
          <w:tab w:val="center" w:pos="7002"/>
          <w:tab w:val="left" w:pos="11430"/>
        </w:tabs>
        <w:spacing w:before="100" w:beforeAutospacing="1" w:after="100" w:afterAutospacing="1" w:line="288" w:lineRule="auto"/>
        <w:rPr>
          <w:rFonts w:ascii="Century Gothic" w:hAnsi="Century Gothic" w:cs="Times New Roman"/>
          <w:b/>
          <w:sz w:val="18"/>
          <w:szCs w:val="18"/>
        </w:rPr>
      </w:pPr>
      <w:r w:rsidRPr="007476A4">
        <w:rPr>
          <w:rFonts w:ascii="Century Gothic" w:hAnsi="Century Gothic" w:cs="Times New Roman"/>
          <w:b/>
          <w:sz w:val="18"/>
          <w:szCs w:val="18"/>
        </w:rPr>
        <w:tab/>
      </w:r>
      <w:r w:rsidR="006004C3" w:rsidRPr="007476A4">
        <w:rPr>
          <w:rFonts w:ascii="Century Gothic" w:hAnsi="Century Gothic" w:cs="Times New Roman"/>
          <w:b/>
          <w:sz w:val="18"/>
          <w:szCs w:val="18"/>
        </w:rPr>
        <w:t>Komora gorąca</w:t>
      </w:r>
      <w:r w:rsidR="00243375" w:rsidRPr="007476A4">
        <w:rPr>
          <w:rFonts w:ascii="Century Gothic" w:hAnsi="Century Gothic" w:cs="Times New Roman"/>
          <w:b/>
          <w:sz w:val="18"/>
          <w:szCs w:val="18"/>
        </w:rPr>
        <w:t xml:space="preserve"> – 1</w:t>
      </w:r>
      <w:r w:rsidRPr="007476A4">
        <w:rPr>
          <w:rFonts w:ascii="Century Gothic" w:hAnsi="Century Gothic" w:cs="Times New Roman"/>
          <w:b/>
          <w:sz w:val="18"/>
          <w:szCs w:val="18"/>
        </w:rPr>
        <w:t xml:space="preserve"> szt.</w:t>
      </w:r>
      <w:r w:rsidRPr="007476A4">
        <w:rPr>
          <w:rFonts w:ascii="Century Gothic" w:hAnsi="Century Gothic" w:cs="Times New Roman"/>
          <w:b/>
          <w:sz w:val="18"/>
          <w:szCs w:val="18"/>
        </w:rPr>
        <w:tab/>
      </w:r>
    </w:p>
    <w:p w:rsidR="00431206" w:rsidRPr="007476A4" w:rsidRDefault="00431206" w:rsidP="008A7106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Uwagi i objaśnienia:</w:t>
      </w:r>
      <w:r w:rsidR="008A7106" w:rsidRPr="007476A4">
        <w:rPr>
          <w:rFonts w:ascii="Century Gothic" w:hAnsi="Century Gothic" w:cs="Times New Roman"/>
          <w:sz w:val="18"/>
          <w:szCs w:val="18"/>
        </w:rPr>
        <w:tab/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431206" w:rsidRPr="007476A4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7476A4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431206" w:rsidRPr="007476A4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431206" w:rsidRPr="007476A4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Rok produkcji (min. 2018): …..............</w:t>
      </w: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7476A4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A60903" w:rsidRDefault="00A60903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pPr w:leftFromText="141" w:rightFromText="141" w:vertAnchor="text" w:tblpX="67"/>
        <w:tblW w:w="14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4"/>
        <w:gridCol w:w="6800"/>
      </w:tblGrid>
      <w:tr w:rsidR="00A60903" w:rsidRPr="00665E29" w:rsidTr="00A60903">
        <w:trPr>
          <w:trHeight w:val="70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Przedmiot: </w:t>
            </w:r>
            <w:r>
              <w:t xml:space="preserve"> </w:t>
            </w:r>
            <w:r w:rsidRPr="006A2014">
              <w:rPr>
                <w:rFonts w:ascii="Century Gothic" w:hAnsi="Century Gothic"/>
                <w:b/>
                <w:sz w:val="20"/>
                <w:szCs w:val="20"/>
              </w:rPr>
              <w:t>Komora gorąca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Cena brutto (w zł)</w:t>
            </w:r>
          </w:p>
        </w:tc>
      </w:tr>
      <w:tr w:rsidR="00A60903" w:rsidRPr="00665E29" w:rsidTr="00A60903">
        <w:trPr>
          <w:trHeight w:val="70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A: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sprzętu wraz z dostawą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60903" w:rsidRPr="00665E29" w:rsidTr="00A60903">
        <w:trPr>
          <w:trHeight w:val="70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instalacji i uruchomienia sprzętu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60903" w:rsidRPr="00665E29" w:rsidTr="00A60903">
        <w:trPr>
          <w:trHeight w:val="70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szkoleń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personelu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60903" w:rsidRPr="00665E29" w:rsidTr="00A60903">
        <w:trPr>
          <w:trHeight w:val="715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0903" w:rsidRPr="00665E29" w:rsidRDefault="00A60903" w:rsidP="00A60903">
            <w:pPr>
              <w:spacing w:line="288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A+B+C</w:t>
            </w:r>
            <w:r w:rsidRPr="00665E29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665E29">
              <w:rPr>
                <w:rFonts w:ascii="Century Gothic" w:hAnsi="Century Gothic"/>
                <w:bCs/>
                <w:sz w:val="20"/>
                <w:szCs w:val="20"/>
              </w:rPr>
              <w:t xml:space="preserve"> Cena brutto oferty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903" w:rsidRPr="00665E29" w:rsidRDefault="00A60903" w:rsidP="00A60903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A60903" w:rsidRPr="007476A4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Pr="007476A4" w:rsidRDefault="00A60903" w:rsidP="00A6090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A60903" w:rsidRPr="007476A4" w:rsidRDefault="00A60903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31206" w:rsidRPr="007476A4" w:rsidRDefault="00431206" w:rsidP="0043120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36CB8" w:rsidRPr="007476A4" w:rsidRDefault="00536CB8">
      <w:pPr>
        <w:rPr>
          <w:rFonts w:ascii="Century Gothic" w:hAnsi="Century Gothic" w:cs="Times New Roman"/>
          <w:b/>
          <w:bCs/>
          <w:sz w:val="18"/>
          <w:szCs w:val="18"/>
        </w:rPr>
      </w:pPr>
      <w:r w:rsidRPr="007476A4"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984712" w:rsidRPr="007476A4" w:rsidRDefault="00984712" w:rsidP="00984712">
      <w:pPr>
        <w:spacing w:line="36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7476A4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701"/>
        <w:gridCol w:w="3685"/>
        <w:gridCol w:w="2694"/>
      </w:tblGrid>
      <w:tr w:rsidR="008028E8" w:rsidRPr="007476A4" w:rsidTr="008028E8">
        <w:tc>
          <w:tcPr>
            <w:tcW w:w="709" w:type="dxa"/>
            <w:vAlign w:val="center"/>
          </w:tcPr>
          <w:p w:rsidR="008028E8" w:rsidRPr="007476A4" w:rsidRDefault="008028E8" w:rsidP="00DF3136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28E8" w:rsidRPr="007476A4" w:rsidRDefault="008028E8" w:rsidP="00106FA1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8E8" w:rsidRPr="007476A4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28E8" w:rsidRPr="007476A4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8E8" w:rsidRPr="007476A4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7476A4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 w:rsidP="00B3317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Ekranowany izolator z przepływem laminarnym do manipulacji i kalibracji radiofarmaceutyków zgodnie z wytycznymi cGMP.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G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warancja nie przekroczenia w komorze głównej temperatury 25 </w:t>
            </w:r>
            <w:r w:rsidR="00B3317A" w:rsidRPr="00B3317A">
              <w:rPr>
                <w:rFonts w:ascii="Arial" w:hAnsi="Arial" w:cs="Arial"/>
                <w:color w:val="000000"/>
                <w:sz w:val="18"/>
                <w:szCs w:val="18"/>
              </w:rPr>
              <w:t>ᵒ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 przy temperaturze otoczenia 25 </w:t>
            </w:r>
            <w:r w:rsidR="00B3317A" w:rsidRPr="00B3317A">
              <w:rPr>
                <w:rFonts w:ascii="Arial" w:hAnsi="Arial" w:cs="Arial"/>
                <w:color w:val="000000"/>
                <w:sz w:val="18"/>
                <w:szCs w:val="18"/>
              </w:rPr>
              <w:t>ᵒ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 oraz stosowania suchego bloku (typowe temp. inkubacji: 90-100 </w:t>
            </w:r>
            <w:r w:rsidR="00B3317A" w:rsidRPr="00B3317A">
              <w:rPr>
                <w:rFonts w:ascii="Arial" w:hAnsi="Arial" w:cs="Arial"/>
                <w:color w:val="000000"/>
                <w:sz w:val="18"/>
                <w:szCs w:val="18"/>
              </w:rPr>
              <w:t>ᵒ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B3317A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pracy ze związkami opartymi na Tc99m, jak i generycznymi emiterami PET i SPECT.</w:t>
            </w:r>
            <w:r w:rsidR="00DF3136">
              <w:t xml:space="preserve"> 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Zapewniona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dodatkowa przestrzeń w komorze (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30x50x50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cm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 i media (zasilanie,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powietrze) na moduł do syntezy oraz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dodatkowa przestrzeń w komorze (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30x30x15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cm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 i media (zasilanie) na suchy blok grzejny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66B2D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966B2D" w:rsidRPr="00966B2D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Główna komora wyposażona w plastikowe wsporniki do obsługi izotopów emitujących promieniowanie beta.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Struktura nośna ze stali węglowej powleczona epoksydem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Przednie pokrywy ze stali nierdzewnej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304 AISI, łatwe do odkażania, oddzielają obszar laboratorium (przód) od części technicznej (z tyłu)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 w:rsidP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Komory robocze ze stali nierdzewnej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AISI 316L z wykończeniem wewnętrznym typu Mirror-Bright lub równoważnym, spawy ciągłe i szeroko zaokrąglone narożniki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7B469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Szczelność komór zapewniona przez nadmuchiwany system uszczelek, umieszczony na obwodzie otworów lub inny system zapewniający szczelność komór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E25CCA" w:rsidP="00DF3136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nadmuchiwany system uszczelek – 3 pkt.;</w:t>
            </w:r>
          </w:p>
          <w:p w:rsidR="00E25CCA" w:rsidRPr="007476A4" w:rsidRDefault="00E25CCA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inny system – 1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Ekranowane przednie drzwi na zawiasach ze szkłem i ekranowane drzwi dostępu do rąk.</w:t>
            </w:r>
            <w:r w:rsidR="00B3317A">
              <w:t xml:space="preserve">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kienko podglądu: wielkość umożliwiająca sprawną pracę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komorze roboczej, szkło o ekwiwalencie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Pb min. 50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B3317A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Elementy ekranujące wykonane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sztab: Pb 98% + Sb 2%  (+/-5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Osłonność min.:  50 mm Pb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filtracji wlotu powietrza wykonany z absolutnego fil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tra HEPA z wydajnością min. 99,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95%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c>
          <w:tcPr>
            <w:tcW w:w="709" w:type="dxa"/>
            <w:tcBorders>
              <w:bottom w:val="single" w:sz="4" w:space="0" w:color="auto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filtracji do generowania przepływu laminarnego w komorze klasy A, wykonany z absolutnego wkładu filtracyjnego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ULPA U15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M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ożliwość pracy w trakcie laminarnego przepływu powietrza  w komorze roboczej z osłoną i bez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robocza do dozowania z jakością powietrza zgodna z klasą A "w spoczynku" (EEC-cGMP) i wyposażona w laminarny przepływ na całym obszarze i rękawice manipulacyjne.</w:t>
            </w:r>
            <w:r w:rsidR="00B3317A">
              <w:t xml:space="preserve">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inimum 2 rozmiary rękawic po 3 komplety każdy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B3317A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filtracji powietrza wylotowego wykonany z wkładem filtracyjnym z węglem aktywnym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przejścia materiału (śluza powietrzna) o jakości powietrza zgodnej z klasą B "w spoczynku" (EEC-cGMP) i wyposażona w automatyczny system podnoszenia do załadunku w komorze roboczej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echniczne przewody zasilania gazem z zaworami odcinającymi, które mogą być sterowane z zewnątrz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E25CCA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TAK/NIE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CCA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 – 1 pkt.,</w:t>
            </w:r>
          </w:p>
          <w:p w:rsidR="006004C3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rzewód zasilania technicznego z zaworami odcinającymi, które mogą być sterowane z zewnątrz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E25CCA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TAK/NIE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CCA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 – 1 pkt.,</w:t>
            </w:r>
          </w:p>
          <w:p w:rsidR="006004C3" w:rsidRPr="007476A4" w:rsidRDefault="006004C3" w:rsidP="00E25C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Wlot kabla za pomocą wielowarstwowego systemu uszczelnienia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Chronione gniazda zasilania sterowane z panelu operatora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Min. 5,5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-calowy panel operatora z ekranem dotykowym do sprawdzania i śledzenia najważniejszych parametrów maszyny zarówno w trybie "spoczynku", jak i "pracy"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P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omiar mocy dawki komory roboczej w 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jednostkach min. 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Sv/h</w:t>
            </w:r>
            <w:r w:rsid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M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onitoring 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="00B3317A" w:rsidRPr="00B3317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temperatury, wilgotności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25CCA" w:rsidRPr="007476A4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 w:rsidP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kalibratora dawki wyposażona w system do poruszania fiolką w studzience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na odpady o jakości powietrza zgodnej z klasą B "W spoczynku" (EEC-cGMP)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Komora generatora o jakości powietrza zgodnej z klasą B "W spoczynku" (EEC-cGMP), która może pomieścić do 2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>generatorów Mo99 / Tc99m lub Ge68 / Ga68, wyposażona w automatyczny system selekcji i ładowania oraz wyposażona w drzwi przednie do wyjmowania/wkładania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Połączenia dla testu DOP (test uszczelnienia filtra) filtrów absolutnych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do automatycznych testów szczelności w komorze dozującej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Pokrywa ze stali nierdzewnej od dachu komory do sufitu laboratorium. Wszystkie pokrywy wykonane są w całości ze stali nierdzewnej </w:t>
            </w:r>
            <w:r w:rsidR="00E25CC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AISI 304 z wykończeniem Scotch Brite lub równoważnym.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6004C3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DF3136" w:rsidP="00E25CC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KALIBRATOR DAWEK</w:t>
            </w:r>
            <w:r w:rsidR="006004C3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after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Umożliwia pomiar dokładnych pomiarów aktywności próbek radionuklidów.</w:t>
            </w:r>
            <w:r w:rsidR="00DF3136">
              <w:t xml:space="preserve"> </w:t>
            </w:r>
            <w:r w:rsid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Zapewniona w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spółpraca z dyspenserem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04C3" w:rsidRPr="007476A4" w:rsidRDefault="006004C3" w:rsidP="00DF3136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Urządzenie składa się z: </w:t>
            </w:r>
          </w:p>
          <w:p w:rsidR="0084562E" w:rsidRPr="007476A4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m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in. 8-calowy monitor z ekranem dotykowym (min. 1024 x 768 pikseli)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84562E" w:rsidRPr="007476A4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komory jonizacyjnej,</w:t>
            </w:r>
          </w:p>
          <w:p w:rsidR="0084562E" w:rsidRPr="007476A4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drukarki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etykiet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DF3136" w:rsidRDefault="00DF3136" w:rsidP="00E7641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kabla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połączenia między komorą jonizacyjną a monitorem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DF3136" w:rsidRPr="00DF3136" w:rsidRDefault="00DF3136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t xml:space="preserve">- 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akcesorium do kontroli jakości eluatu 99mTc w kierunku zanieczyszczenia 99Mo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DF3136" w:rsidRPr="00DF3136" w:rsidRDefault="00E76415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wkładką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zabezp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ieczającą</w:t>
            </w:r>
            <w:r w:rsidR="00DF3136"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przed kontaminacją komorę jonizacyjną</w:t>
            </w:r>
          </w:p>
          <w:p w:rsidR="00DF3136" w:rsidRPr="00DF3136" w:rsidRDefault="00DF3136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dodatkowy uchwyt dedykowany do strzykawek 1 ml </w:t>
            </w:r>
          </w:p>
          <w:p w:rsidR="0084562E" w:rsidRPr="007476A4" w:rsidRDefault="00DF3136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 xml:space="preserve">- skalibrowanie źródło Cs-137 do kontroli jakości miernika (dostarczenie 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źródła przez Wykonawcę 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momencie otrzymania stosownych zezwoleń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przez Zamawiającego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F3136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F3136" w:rsidRPr="007476A4" w:rsidRDefault="00DF3136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3136" w:rsidRPr="007476A4" w:rsidRDefault="00DF3136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wzorcowane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przez akredytowane laboratorium minimum dla: I-131, Y-90, Lu-177, Tc-99m, I-123, Ga-68, F-18, Cs-137, Re-186, Co-57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36" w:rsidRPr="007476A4" w:rsidRDefault="00DF3136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F3136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F3136" w:rsidRPr="007476A4" w:rsidRDefault="00DF3136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3136" w:rsidRPr="007476A4" w:rsidRDefault="00DF3136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 wzorcowane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przez akredytowane laboratorium minimum dla: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DF313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Ra-223, Er-169,  ln-111, C-11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36" w:rsidRPr="007476A4" w:rsidRDefault="00DF3136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136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6 pkt.;</w:t>
            </w:r>
          </w:p>
          <w:p w:rsidR="00DF3136" w:rsidRPr="007476A4" w:rsidRDefault="00DF3136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004C3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04C3" w:rsidRPr="007476A4" w:rsidRDefault="006004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KOMORA JONIZACYJNA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:</w:t>
            </w:r>
          </w:p>
          <w:p w:rsidR="0084562E" w:rsidRPr="007476A4" w:rsidRDefault="0084562E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Saturacja: &gt;200 GBq (Tc-99m), &gt;70 GBq (F-18). &gt;6 Ci (Tc-99m), &gt;2 Ci (F-18)</w:t>
            </w:r>
          </w:p>
          <w:p w:rsidR="0084562E" w:rsidRPr="007476A4" w:rsidRDefault="0084562E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Zakres energii min.: 25 keV - 3 MeV</w:t>
            </w:r>
          </w:p>
          <w:p w:rsidR="006004C3" w:rsidRPr="007476A4" w:rsidRDefault="00DF3136" w:rsidP="00E7641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Osłonięcie min.:  40 mm Pb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DF3136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C3" w:rsidRPr="007476A4" w:rsidRDefault="006004C3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4C3" w:rsidRPr="007476A4" w:rsidRDefault="006004C3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MONITORING DAWEK PROMIENIOWANIA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EF1ACA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Urządzenie do wykrywania radioaktywności w </w:t>
            </w:r>
            <w:r w:rsidR="00EF1ACA">
              <w:rPr>
                <w:rFonts w:ascii="Century Gothic" w:hAnsi="Century Gothic" w:cs="Times New Roman"/>
                <w:sz w:val="18"/>
                <w:szCs w:val="18"/>
              </w:rPr>
              <w:t xml:space="preserve">komorach 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gorących. </w:t>
            </w:r>
            <w:r w:rsidR="00EF1ACA">
              <w:rPr>
                <w:rFonts w:ascii="Century Gothic" w:hAnsi="Century Gothic" w:cs="Times New Roman"/>
                <w:sz w:val="18"/>
                <w:szCs w:val="18"/>
              </w:rPr>
              <w:t>Z funkcją blokowania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drzwi, gdy dawka wzrasta powyżej ustawionego progu alarmowego.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W przypadku wyzwolenia alarmu, wlotowe i wylotowe zawory powietrza w komorze są zamknięte.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Sonda detekcyjna jest instalowana wewnątrz komory podczas gdy jednostka licząca jest zamontowana na panelu.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DYSPENSER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Dyspenser przeznaczony  do bezpiecznego i dokładnego frakcjonowania radiofarmaceutyków w strzykawkach.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192883" w:rsidRDefault="0084562E" w:rsidP="00192883">
            <w:pPr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Zaprojektowany zgodnie z 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wytycznymi Unii Europejskiej dotyczące Dobrej Praktyki Wytwarzania </w:t>
            </w:r>
            <w:r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Eudralex - w Partii </w:t>
            </w:r>
            <w:r w:rsidR="00E97C9A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min. </w:t>
            </w:r>
            <w:r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4 (GMP)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[Eudralex The Rules Governing Medicinal Products In the European Union Volume 4 EU guidelines for Good Manufacturing Practice for Medicinal Products for Human and Veterinary Use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]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59623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Dyspenser może mierzyć radioaktywność dozowanej dawki poprzez zintegrowaną komorę jonizacyjną.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59623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Może otrzymywać radiofarmaceutyki z fiolki wielodawkowej.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spacing w:after="6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TAK </w:t>
            </w:r>
          </w:p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E97C9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Ekranowanie dla zestawów jednorazowego użytku i dla docelowej strzykawki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E97C9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Specjalistyczny system z osłoną wolframową do dozowania do strzykawek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Obliczanie stężenia za pomocą próbkowania wolumetrycznego i pomiaru aktywności za pomocą zintegrowanego kalibratora dawki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Ekranowanie w punktach krytycznych (przepływ płynu radiacyjnego) 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25 mm Pb.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66B2D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966B2D" w:rsidRPr="00966B2D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19288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Zarządzanie recepturami, automatyzacja i kontrola przepływu pracy za pomocą interfejsu operatora opracowanego zgodnie z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 xml:space="preserve">regulacją GAMP i zgodnego z 21 CFR 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część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11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równoważny w zakresie współpracy</w:t>
            </w:r>
            <w:r w:rsidR="00192883" w:rsidRP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oprogramowaniem umożliwiającym pobranie, wyświetlenie i analizę danych oraz ich zabezpieczenie przed zewnętrzną modyfikacją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ZINTEGROWANY LICZNIK CZĄSTEK DLA GŁÓWNEJ KOMORY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Jednocześnie kontrola, wielkość cząstek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0,5μm i 5,0μm przy prędkości przepływu 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1,0 CFM (28,3 LPM). Dokładność +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/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-3%. Wyjście Modbus / RS485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równoważne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interfejsy komunikacyjne </w:t>
            </w:r>
            <w:r w:rsidR="0019288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zakresie izolowanych wejść i wyjść cyfrowych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E97C9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Licznik zg</w:t>
            </w:r>
            <w:r w:rsidR="00E97C9A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odny z ISO 21501-4. i JIS B9921 lub równoważnymi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605F1A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Licznik jest zgodny z wymaganiami GMP i jest odpowiedni do monitoro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wania środowisk klasyfikowanych </w:t>
            </w:r>
            <w:r w:rsidR="00605F1A" w:rsidRP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(GMP - wytyczne</w:t>
            </w:r>
            <w:r w:rsidR="00605F1A" w:rsidRP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Unii Europejskiej dotyczące Dobrej Praktyki Wytwarzania - Eudralex The Rules Governing Medicinal Products In the European Union guidelines for Good Manufacturing Practice for Medicinal Produc</w:t>
            </w:r>
            <w:r w:rsid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ts for Human and Veterinary Use)</w:t>
            </w:r>
            <w:r w:rsidR="00605F1A" w:rsidRPr="00605F1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Konstrukcja ze stali nierdzewnej.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LAMPA UV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Wewnętrzna lampa UV z automatycznym wyłączaniem. Sterowanie i czasomierz światła można ustawić z panelu operatora, aby zaprogramować jego wyłączenie po upływie ustalonego czasu.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DF313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 w:rsidP="00DF313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OSŁONOWY POJEMNIK Z UCHWYTEM DO TRANSPORTU STRZYKAWEK Z RADIOFARMACEUTYKIEM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– RAZEM 10 SZT.</w:t>
            </w:r>
            <w:r w:rsid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E76415" w:rsidRDefault="00EB7E02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Osłonowe</w:t>
            </w:r>
            <w:r w:rsidRP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pojemnik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</w:t>
            </w:r>
            <w:r w:rsidRP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uchwytem do transportu strzykawek</w:t>
            </w:r>
            <w:r w:rsidRP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radiofarmaceutykami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E76415"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współpracujące z dyspenserem i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automatyczną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pompą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strzykawkową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-</w:t>
            </w:r>
            <w:r w:rsidR="00E76415"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5 szt.</w:t>
            </w:r>
          </w:p>
          <w:p w:rsidR="00E76415" w:rsidRPr="007476A4" w:rsidRDefault="00EB7E02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Osłonowe</w:t>
            </w:r>
            <w:r w:rsidRP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pojemnik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</w:t>
            </w:r>
            <w:r w:rsidRP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uchwytem do transportu strzykawek</w:t>
            </w:r>
            <w:r w:rsidRP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radiofarmaceutykami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</w:t>
            </w:r>
            <w:r w:rsidR="00E76415"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spółpracujące z </w:t>
            </w:r>
            <w:r w:rsid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dyspenserem do podań manualnych -</w:t>
            </w:r>
            <w:r w:rsidR="00E76415"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5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Wykonane z ołowiu i pokryte</w:t>
            </w:r>
            <w:r w:rsidR="0084562E"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plastikowymi materiałami kompozytowymi wzmacnianymi włóknami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Wymiary zewnętrzne 65 x 250 mm (średnica x wysokość) (+/-10%)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76415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4562E" w:rsidRPr="007476A4" w:rsidTr="00DF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4562E" w:rsidRPr="007476A4" w:rsidRDefault="0084562E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62E" w:rsidRPr="007476A4" w:rsidRDefault="0084562E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Masa max. 7 kg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E76415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2E" w:rsidRPr="007476A4" w:rsidRDefault="0084562E" w:rsidP="00DF313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62E" w:rsidRPr="007476A4" w:rsidRDefault="0084562E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1362A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7476A4" w:rsidRDefault="00E76415" w:rsidP="00EB7E02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OSŁONOWY POJEMNIK Z UCHWYTEM DO TRANSPORT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 STRZYKAWKIU Z RADIOFARMACEUTYKAMI PET –</w:t>
            </w:r>
            <w:r w:rsidR="00EB7E0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7476A4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Osłonowy pojemnik z uchwytem do transportu strzykawki z radiofarmaceutykami PET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</w:t>
            </w:r>
            <w:r w:rsidRPr="007476A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ykonany z ołowiu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– 3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1362A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7476A4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AUTOMATYCZNA POMPA STRZYKAWKOWA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76415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76415" w:rsidRPr="007476A4" w:rsidRDefault="00E76415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6415" w:rsidRPr="00E76415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Automatyczna pompa strzykawkowa: </w:t>
            </w:r>
          </w:p>
          <w:p w:rsidR="00E76415" w:rsidRPr="00E76415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współpracująca ze strzykawkami i osłonami stosowanymi w dyspenserze</w:t>
            </w:r>
          </w:p>
          <w:p w:rsidR="00E76415" w:rsidRPr="007476A4" w:rsidRDefault="00E76415" w:rsidP="00E76415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zapewniony </w:t>
            </w:r>
            <w:r w:rsidRPr="00E7641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dedykowany statyw i osłony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15" w:rsidRPr="007476A4" w:rsidRDefault="00E76415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415" w:rsidRPr="007476A4" w:rsidRDefault="00E76415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F01C3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F01C3" w:rsidRPr="007476A4" w:rsidRDefault="006F01C3" w:rsidP="001362A6">
            <w:pPr>
              <w:spacing w:after="60" w:line="288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F01C3" w:rsidRPr="007476A4" w:rsidRDefault="006F01C3" w:rsidP="001362A6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SUCHY BLOK GRZEJNY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C3" w:rsidRPr="007476A4" w:rsidRDefault="006F01C3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F01C3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F01C3" w:rsidRPr="007476A4" w:rsidRDefault="006F01C3" w:rsidP="00543547">
            <w:pPr>
              <w:pStyle w:val="Akapitzlis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F01C3" w:rsidRP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Suchy blok grzejny: </w:t>
            </w:r>
          </w:p>
          <w:p w:rsidR="006F01C3" w:rsidRP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zakres temperatury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40 – 120 </w:t>
            </w:r>
            <w:r w:rsidRPr="006F01C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:rsidR="006F01C3" w:rsidRP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 błąd pomiaru/rozdzielczość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max.:  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0,3 </w:t>
            </w:r>
            <w:r w:rsidRPr="006F01C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C/ 0,1 </w:t>
            </w:r>
            <w:r w:rsidRPr="006F01C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</w:p>
          <w:p w:rsid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- 3 bloki wymienne do przystosowania we własnym zakresie </w:t>
            </w:r>
          </w:p>
          <w:p w:rsidR="006F01C3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lub </w:t>
            </w:r>
          </w:p>
          <w:p w:rsidR="006F01C3" w:rsidRPr="007476A4" w:rsidRDefault="006F01C3" w:rsidP="006F01C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2 bloki wymienne z otworami przystosowanymi do fiolek z zestawów do znakowania radiofarmaceutyków firmy Polatom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(posiadanymi przez Zamawiającego) 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oraz do znakowania analogów somatostatyny firmy AAA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(posiadanymi przez Zamawiającego)</w:t>
            </w:r>
            <w:r w:rsidRPr="006F01C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i 1 blok bez otworów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C3" w:rsidRPr="007476A4" w:rsidRDefault="006F01C3" w:rsidP="001362A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1C3" w:rsidRPr="007476A4" w:rsidRDefault="006F01C3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</w:tcPr>
          <w:p w:rsidR="007476A4" w:rsidRPr="007476A4" w:rsidRDefault="007476A4" w:rsidP="007476A4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7476A4" w:rsidRDefault="007476A4" w:rsidP="007476A4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7476A4"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7476A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476A4" w:rsidRPr="007476A4" w:rsidRDefault="007476A4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7476A4" w:rsidRDefault="007476A4" w:rsidP="007476A4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7476A4"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7476A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476A4" w:rsidRPr="007476A4" w:rsidRDefault="007476A4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7476A4" w:rsidRDefault="007476A4" w:rsidP="007476A4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7476A4"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  <w:t>Komplet dokumentów i testów, których wykonanie zgodnie z obowiązującymi przepisami leży po stronie dostawcy, a które są niezbędne do odbioru pracowni i urządzenia przez uprawnione instytucje - wymienić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7476A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B7E02" w:rsidRPr="007476A4" w:rsidTr="0013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B7E02" w:rsidRPr="00EB7E02" w:rsidRDefault="00EB7E02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7E02" w:rsidRPr="00EB7E02" w:rsidRDefault="00EB7E02" w:rsidP="001362A6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 w:rsidRPr="00EB7E02"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>Należy zabezpieczyć prawidłowe wykonanie testów specjalistycznych (jeżeli wymagane, zgodnie z aktualnie obowiązującymi przepisami prawa)  oraz dopasowanie pracowni do wymogów oferowanego urządzenia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E02" w:rsidRPr="00EB7E02" w:rsidRDefault="00EB7E02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EB7E02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02" w:rsidRPr="007476A4" w:rsidRDefault="00EB7E02" w:rsidP="001362A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E02" w:rsidRPr="007476A4" w:rsidRDefault="00EB7E02" w:rsidP="001362A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476A4" w:rsidRPr="007476A4" w:rsidTr="00747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476A4" w:rsidRPr="00EB7E02" w:rsidRDefault="007476A4" w:rsidP="00543547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Century Gothic" w:eastAsia="Calibri" w:hAnsi="Century Gothic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476A4" w:rsidRPr="00EB7E02" w:rsidRDefault="00EB7E02" w:rsidP="00EB7E02">
            <w:pPr>
              <w:pStyle w:val="Nagwek1"/>
              <w:widowControl/>
              <w:shd w:val="clear" w:color="auto" w:fill="auto"/>
              <w:suppressAutoHyphens w:val="0"/>
              <w:snapToGrid w:val="0"/>
              <w:ind w:left="0"/>
              <w:rPr>
                <w:rFonts w:ascii="Century Gothic" w:eastAsiaTheme="minorHAnsi" w:hAnsi="Century Gothic"/>
                <w:b w:val="0"/>
                <w:bCs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>Wykonawca jest zobowiązany</w:t>
            </w:r>
            <w:r w:rsidR="007476A4" w:rsidRPr="00EB7E02"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 xml:space="preserve"> zabezpieczyć prawidłowe </w:t>
            </w:r>
            <w:r>
              <w:rPr>
                <w:rFonts w:ascii="Century Gothic" w:eastAsia="Times New Roman" w:hAnsi="Century Gothic" w:cs="Calibri"/>
                <w:b w:val="0"/>
                <w:sz w:val="18"/>
                <w:szCs w:val="18"/>
              </w:rPr>
              <w:t xml:space="preserve">podłączenie oferowanego urządzenia do istniejących warunków infrastruktury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EB7E02" w:rsidRDefault="007476A4" w:rsidP="007476A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EB7E02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A4" w:rsidRPr="007476A4" w:rsidRDefault="007476A4" w:rsidP="007476A4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6A4" w:rsidRPr="007476A4" w:rsidRDefault="007476A4" w:rsidP="00DF313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8A4119" w:rsidRPr="007476A4" w:rsidRDefault="008A4119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7476A4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7476A4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7476A4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3825"/>
        <w:gridCol w:w="2554"/>
      </w:tblGrid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 w:rsidP="00543547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7476A4" w:rsidRDefault="004B5E68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7476A4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806F74" w:rsidP="00806F7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</w:p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całość ewentualnych prac i </w:t>
            </w: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wyposażenia sprzętowego, które będzie służyło tej funkcjonalności po stronie 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 – 3 pkt.</w:t>
            </w:r>
          </w:p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nie – 0 pkt.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4B5E68" w:rsidRPr="007476A4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2D52F1" w:rsidP="0059623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7476A4">
              <w:rPr>
                <w:rFonts w:ascii="Century Gothic" w:hAnsi="Century Gothic"/>
                <w:sz w:val="18"/>
                <w:szCs w:val="18"/>
              </w:rPr>
              <w:t>48</w:t>
            </w:r>
            <w:r w:rsidRPr="007476A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966B2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966B2D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</w:t>
            </w:r>
            <w:r w:rsidR="004B5E68" w:rsidRPr="00966B2D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ak</w:t>
            </w:r>
            <w:r w:rsidRPr="00966B2D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, podać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Pr="007476A4" w:rsidRDefault="002D52F1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7476A4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7476A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7476A4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7476A4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7476A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</w:t>
            </w:r>
            <w:r w:rsidRPr="007476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pogwarancyjnego Wykonawcy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7476A4" w:rsidRDefault="004B5E68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7476A4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7476A4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osób z możliwością podziału i szkolenia w mniejszych podgrupach) w momencie jego instalacji i odbioru; w razie potrzeby Zamawiającego, możliwość stałego wsparcia ap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likacyjnego w początkowym (do 6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> -ciu miesięcy) okresie pracy urządzeń (dodatkowe szkolenie, dodatkowa grupa osób, konsultacje,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DF313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DF313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596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informatycznego umożliwiania zdalnej diagnostyki, wymagań konferencyjnych, wpięcia urządzenia w system gromadzenia dokumentacji medycznej szpitala, diagnostyki i konfiguracji (min. </w:t>
            </w:r>
            <w:r w:rsidR="00596231" w:rsidRPr="007476A4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7476A4">
              <w:rPr>
                <w:rFonts w:ascii="Century Gothic" w:hAnsi="Century Gothic" w:cs="Times New Roman"/>
                <w:sz w:val="18"/>
                <w:szCs w:val="18"/>
              </w:rPr>
              <w:t xml:space="preserve"> osoby)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DF313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DF313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912D05" w:rsidRPr="007476A4" w:rsidRDefault="00912D05" w:rsidP="0054354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912D05" w:rsidRPr="007476A4" w:rsidRDefault="00912D05" w:rsidP="0054354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</w:t>
            </w:r>
            <w:r w:rsidR="008A4119"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by, w innym terminie ustalonym </w:t>
            </w: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kierownikiem pracowni,</w:t>
            </w:r>
          </w:p>
          <w:p w:rsidR="00912D05" w:rsidRPr="007476A4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Pr="007476A4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Wykonawca w ramach dostawy sprzętu zobowiązuje się dostarczyć komplet akcesoriów, okablowania itp. asortymentu </w:t>
            </w: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niezbędnego do uruchomienia i funkcjonowania aparatu jako całości w wymaganej specyfikacją konfiguracji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12D05" w:rsidRPr="007476A4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912D05" w:rsidRPr="007476A4" w:rsidTr="0037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 w:rsidP="0054354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Pr="007476A4" w:rsidRDefault="00912D0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912D05" w:rsidRPr="007476A4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Pr="007476A4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7476A4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7476A4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7476A4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7476A4" w:rsidSect="00A60903">
      <w:headerReference w:type="default" r:id="rId8"/>
      <w:footerReference w:type="default" r:id="rId9"/>
      <w:pgSz w:w="16838" w:h="11906" w:orient="landscape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59" w:rsidRDefault="00057559" w:rsidP="002B10C5">
      <w:pPr>
        <w:spacing w:after="0" w:line="240" w:lineRule="auto"/>
      </w:pPr>
      <w:r>
        <w:separator/>
      </w:r>
    </w:p>
  </w:endnote>
  <w:endnote w:type="continuationSeparator" w:id="0">
    <w:p w:rsidR="00057559" w:rsidRDefault="00057559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432453"/>
      <w:docPartObj>
        <w:docPartGallery w:val="Page Numbers (Bottom of Page)"/>
        <w:docPartUnique/>
      </w:docPartObj>
    </w:sdtPr>
    <w:sdtEndPr/>
    <w:sdtContent>
      <w:p w:rsidR="001362A6" w:rsidRDefault="00136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2D">
          <w:rPr>
            <w:noProof/>
          </w:rPr>
          <w:t>12</w:t>
        </w:r>
        <w:r>
          <w:fldChar w:fldCharType="end"/>
        </w:r>
      </w:p>
    </w:sdtContent>
  </w:sdt>
  <w:p w:rsidR="001362A6" w:rsidRDefault="00136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59" w:rsidRDefault="00057559" w:rsidP="002B10C5">
      <w:pPr>
        <w:spacing w:after="0" w:line="240" w:lineRule="auto"/>
      </w:pPr>
      <w:r>
        <w:separator/>
      </w:r>
    </w:p>
  </w:footnote>
  <w:footnote w:type="continuationSeparator" w:id="0">
    <w:p w:rsidR="00057559" w:rsidRDefault="00057559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A6" w:rsidRDefault="001362A6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74295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2A6" w:rsidRPr="00A60903" w:rsidRDefault="001362A6" w:rsidP="00A60903">
    <w:pPr>
      <w:pStyle w:val="Tytu"/>
      <w:spacing w:line="288" w:lineRule="auto"/>
      <w:rPr>
        <w:rFonts w:ascii="Century Gothic" w:hAnsi="Century Gothic"/>
        <w:b w:val="0"/>
        <w:sz w:val="18"/>
        <w:szCs w:val="18"/>
      </w:rPr>
    </w:pPr>
    <w:r w:rsidRPr="00A60903">
      <w:rPr>
        <w:rFonts w:ascii="Century Gothic" w:hAnsi="Century Gothic"/>
        <w:b w:val="0"/>
        <w:sz w:val="18"/>
        <w:szCs w:val="18"/>
      </w:rPr>
      <w:t xml:space="preserve">NSSU.DFP.271.36.2018.KK </w:t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</w:r>
    <w:r w:rsidRPr="00A60903">
      <w:rPr>
        <w:rFonts w:ascii="Century Gothic" w:hAnsi="Century Gothic"/>
        <w:b w:val="0"/>
        <w:sz w:val="18"/>
        <w:szCs w:val="18"/>
      </w:rPr>
      <w:tab/>
      <w:t xml:space="preserve">          Załącznik nr 1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65E6"/>
    <w:multiLevelType w:val="hybridMultilevel"/>
    <w:tmpl w:val="15AE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57559"/>
    <w:rsid w:val="00062621"/>
    <w:rsid w:val="00082567"/>
    <w:rsid w:val="00084A56"/>
    <w:rsid w:val="000872C6"/>
    <w:rsid w:val="000A01C5"/>
    <w:rsid w:val="000A42E2"/>
    <w:rsid w:val="000A70CE"/>
    <w:rsid w:val="00106FA1"/>
    <w:rsid w:val="00117DDC"/>
    <w:rsid w:val="001362A6"/>
    <w:rsid w:val="00140F74"/>
    <w:rsid w:val="00153000"/>
    <w:rsid w:val="00192883"/>
    <w:rsid w:val="00195D24"/>
    <w:rsid w:val="00226290"/>
    <w:rsid w:val="00226C7E"/>
    <w:rsid w:val="00243375"/>
    <w:rsid w:val="00277FF5"/>
    <w:rsid w:val="002B10C5"/>
    <w:rsid w:val="002B6545"/>
    <w:rsid w:val="002B7EF9"/>
    <w:rsid w:val="002D52F1"/>
    <w:rsid w:val="002E7641"/>
    <w:rsid w:val="0031723C"/>
    <w:rsid w:val="0035006A"/>
    <w:rsid w:val="003502EB"/>
    <w:rsid w:val="00374146"/>
    <w:rsid w:val="003816D4"/>
    <w:rsid w:val="00386BDE"/>
    <w:rsid w:val="00420195"/>
    <w:rsid w:val="00430D65"/>
    <w:rsid w:val="00431206"/>
    <w:rsid w:val="004537A6"/>
    <w:rsid w:val="004A3639"/>
    <w:rsid w:val="004A4815"/>
    <w:rsid w:val="004B5E68"/>
    <w:rsid w:val="004D0BBF"/>
    <w:rsid w:val="004E2ABC"/>
    <w:rsid w:val="004F3CBA"/>
    <w:rsid w:val="005019B3"/>
    <w:rsid w:val="00505CFB"/>
    <w:rsid w:val="00536CB8"/>
    <w:rsid w:val="00543547"/>
    <w:rsid w:val="0055762C"/>
    <w:rsid w:val="00595A76"/>
    <w:rsid w:val="00596231"/>
    <w:rsid w:val="005B49CB"/>
    <w:rsid w:val="006004C3"/>
    <w:rsid w:val="00605F1A"/>
    <w:rsid w:val="00617EC5"/>
    <w:rsid w:val="006309BF"/>
    <w:rsid w:val="006E090E"/>
    <w:rsid w:val="006F01C3"/>
    <w:rsid w:val="00716F0E"/>
    <w:rsid w:val="00726396"/>
    <w:rsid w:val="007475D7"/>
    <w:rsid w:val="007476A4"/>
    <w:rsid w:val="007B4693"/>
    <w:rsid w:val="007D2398"/>
    <w:rsid w:val="007D544F"/>
    <w:rsid w:val="008028E8"/>
    <w:rsid w:val="00806F74"/>
    <w:rsid w:val="008146EE"/>
    <w:rsid w:val="0084562E"/>
    <w:rsid w:val="00852D15"/>
    <w:rsid w:val="00877102"/>
    <w:rsid w:val="008A4119"/>
    <w:rsid w:val="008A7106"/>
    <w:rsid w:val="008E4B96"/>
    <w:rsid w:val="00912D05"/>
    <w:rsid w:val="009319E1"/>
    <w:rsid w:val="0093379E"/>
    <w:rsid w:val="00960A4A"/>
    <w:rsid w:val="00966B2D"/>
    <w:rsid w:val="00984712"/>
    <w:rsid w:val="009A662D"/>
    <w:rsid w:val="009B0ED9"/>
    <w:rsid w:val="009D6485"/>
    <w:rsid w:val="00A37445"/>
    <w:rsid w:val="00A60903"/>
    <w:rsid w:val="00A8133F"/>
    <w:rsid w:val="00AE7F64"/>
    <w:rsid w:val="00AF7709"/>
    <w:rsid w:val="00B009C9"/>
    <w:rsid w:val="00B3317A"/>
    <w:rsid w:val="00B33D13"/>
    <w:rsid w:val="00B425B1"/>
    <w:rsid w:val="00B61A26"/>
    <w:rsid w:val="00B72884"/>
    <w:rsid w:val="00B935A3"/>
    <w:rsid w:val="00B95922"/>
    <w:rsid w:val="00BA29CF"/>
    <w:rsid w:val="00BD5FB9"/>
    <w:rsid w:val="00BD6659"/>
    <w:rsid w:val="00BE7B7B"/>
    <w:rsid w:val="00C10E44"/>
    <w:rsid w:val="00C2669F"/>
    <w:rsid w:val="00C567EE"/>
    <w:rsid w:val="00C62F9D"/>
    <w:rsid w:val="00C64C0B"/>
    <w:rsid w:val="00C75220"/>
    <w:rsid w:val="00D73EB9"/>
    <w:rsid w:val="00D81DC0"/>
    <w:rsid w:val="00D93C7F"/>
    <w:rsid w:val="00DA12A3"/>
    <w:rsid w:val="00DA1FA2"/>
    <w:rsid w:val="00DC7F16"/>
    <w:rsid w:val="00DF3136"/>
    <w:rsid w:val="00E25CCA"/>
    <w:rsid w:val="00E2786E"/>
    <w:rsid w:val="00E50DAF"/>
    <w:rsid w:val="00E50E99"/>
    <w:rsid w:val="00E76415"/>
    <w:rsid w:val="00E97C9A"/>
    <w:rsid w:val="00EA2262"/>
    <w:rsid w:val="00EA6DEC"/>
    <w:rsid w:val="00EB7E02"/>
    <w:rsid w:val="00EC6DB9"/>
    <w:rsid w:val="00EC7C3F"/>
    <w:rsid w:val="00EF1ACA"/>
    <w:rsid w:val="00EF3E66"/>
    <w:rsid w:val="00F34EF1"/>
    <w:rsid w:val="00F65B8E"/>
    <w:rsid w:val="00F96794"/>
    <w:rsid w:val="00FA2BC1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572C"/>
  <w15:docId w15:val="{2C4EDFB5-9447-4E03-B88A-51F621A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60CA-1F00-4738-8EDD-91B4D29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16</cp:revision>
  <cp:lastPrinted>2018-03-16T13:18:00Z</cp:lastPrinted>
  <dcterms:created xsi:type="dcterms:W3CDTF">2019-01-02T08:31:00Z</dcterms:created>
  <dcterms:modified xsi:type="dcterms:W3CDTF">2019-01-02T10:09:00Z</dcterms:modified>
</cp:coreProperties>
</file>